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spacing w:line="560" w:lineRule="exact"/>
        <w:jc w:val="center"/>
        <w:rPr>
          <w:rFonts w:hint="eastAsia" w:ascii="方正小标宋简体" w:hAnsi="方正小标宋简体" w:eastAsia="方正小标宋简体" w:cs="方正小标宋简体"/>
          <w:color w:val="000000" w:themeColor="text1"/>
          <w:kern w:val="2"/>
          <w:sz w:val="44"/>
          <w:szCs w:val="44"/>
          <w14:textFill>
            <w14:solidFill>
              <w14:schemeClr w14:val="tx1"/>
            </w14:solidFill>
          </w14:textFill>
        </w:rPr>
      </w:pPr>
    </w:p>
    <w:p>
      <w:pPr>
        <w:pStyle w:val="7"/>
        <w:spacing w:line="560" w:lineRule="exact"/>
        <w:jc w:val="center"/>
        <w:rPr>
          <w:rFonts w:hint="default" w:ascii="方正小标宋简体" w:hAnsi="方正小标宋简体" w:eastAsia="方正小标宋简体" w:cs="方正小标宋简体"/>
          <w:color w:val="000000" w:themeColor="text1"/>
          <w:kern w:val="2"/>
          <w:sz w:val="44"/>
          <w:szCs w:val="44"/>
          <w:lang w:val="en-US" w:eastAsia="zh-CN"/>
          <w14:textFill>
            <w14:solidFill>
              <w14:schemeClr w14:val="tx1"/>
            </w14:solidFill>
          </w14:textFill>
        </w:rPr>
      </w:pPr>
      <w:r>
        <w:rPr>
          <w:rFonts w:hint="eastAsia" w:ascii="方正小标宋简体" w:hAnsi="方正小标宋简体" w:eastAsia="方正小标宋简体" w:cs="方正小标宋简体"/>
          <w:color w:val="000000" w:themeColor="text1"/>
          <w:kern w:val="2"/>
          <w:sz w:val="44"/>
          <w:szCs w:val="44"/>
          <w14:textFill>
            <w14:solidFill>
              <w14:schemeClr w14:val="tx1"/>
            </w14:solidFill>
          </w14:textFill>
        </w:rPr>
        <w:t>“天赋河套”</w:t>
      </w:r>
      <w:r>
        <w:rPr>
          <w:rFonts w:hint="eastAsia" w:ascii="方正小标宋简体" w:hAnsi="方正小标宋简体" w:eastAsia="方正小标宋简体" w:cs="方正小标宋简体"/>
          <w:color w:val="000000" w:themeColor="text1"/>
          <w:kern w:val="2"/>
          <w:sz w:val="44"/>
          <w:szCs w:val="44"/>
          <w:lang w:val="en-US" w:eastAsia="zh-CN"/>
          <w14:textFill>
            <w14:solidFill>
              <w14:schemeClr w14:val="tx1"/>
            </w14:solidFill>
          </w14:textFill>
        </w:rPr>
        <w:t>总情概况</w:t>
      </w:r>
    </w:p>
    <w:p>
      <w:pPr>
        <w:pStyle w:val="7"/>
        <w:spacing w:line="560" w:lineRule="exact"/>
        <w:jc w:val="center"/>
        <w:rPr>
          <w:rFonts w:hint="eastAsia" w:ascii="仿宋_GB2312" w:hAnsi="仿宋_GB2312" w:eastAsia="仿宋_GB2312" w:cs="仿宋_GB2312"/>
          <w:b/>
          <w:bCs/>
          <w:color w:val="000000" w:themeColor="text1"/>
          <w:kern w:val="2"/>
          <w:sz w:val="32"/>
          <w:szCs w:val="32"/>
          <w:lang w:val="en-US" w:eastAsia="zh-CN"/>
          <w14:textFill>
            <w14:solidFill>
              <w14:schemeClr w14:val="tx1"/>
            </w14:solidFill>
          </w14:textFill>
        </w:rPr>
      </w:pPr>
    </w:p>
    <w:p>
      <w:pPr>
        <w:pStyle w:val="7"/>
        <w:spacing w:line="560" w:lineRule="exact"/>
        <w:jc w:val="center"/>
        <w:rPr>
          <w:rFonts w:hint="eastAsia" w:ascii="仿宋_GB2312" w:hAnsi="仿宋_GB2312" w:eastAsia="仿宋_GB2312" w:cs="仿宋_GB2312"/>
          <w:b/>
          <w:bCs/>
          <w:color w:val="000000" w:themeColor="text1"/>
          <w:kern w:val="2"/>
          <w:sz w:val="32"/>
          <w:szCs w:val="32"/>
          <w:lang w:val="en-US" w:eastAsia="zh-CN"/>
          <w14:textFill>
            <w14:solidFill>
              <w14:schemeClr w14:val="tx1"/>
            </w14:solidFill>
          </w14:textFill>
        </w:rPr>
      </w:pPr>
    </w:p>
    <w:p>
      <w:pPr>
        <w:pStyle w:val="2"/>
        <w:numPr>
          <w:ilvl w:val="0"/>
          <w:numId w:val="0"/>
        </w:numPr>
        <w:rPr>
          <w:rFonts w:hint="eastAsia" w:ascii="仿宋_GB2312" w:hAnsi="仿宋_GB2312" w:eastAsia="仿宋_GB2312" w:cs="仿宋_GB2312"/>
          <w:b/>
          <w:bCs/>
          <w:color w:val="000000" w:themeColor="text1"/>
          <w:sz w:val="32"/>
          <w:szCs w:val="32"/>
          <w14:textFill>
            <w14:solidFill>
              <w14:schemeClr w14:val="tx1"/>
            </w14:solidFill>
          </w14:textFill>
        </w:rPr>
      </w:pPr>
      <w:r>
        <w:rPr>
          <w:rFonts w:hint="eastAsia" w:ascii="仿宋_GB2312" w:hAnsi="仿宋_GB2312" w:eastAsia="仿宋_GB2312" w:cs="仿宋_GB2312"/>
          <w:b/>
          <w:bCs/>
          <w:color w:val="000000" w:themeColor="text1"/>
          <w:sz w:val="32"/>
          <w:szCs w:val="32"/>
          <w14:textFill>
            <w14:solidFill>
              <w14:schemeClr w14:val="tx1"/>
            </w14:solidFill>
          </w14:textFill>
        </w:rPr>
        <w:t>“天赋河套”品牌简介</w:t>
      </w:r>
    </w:p>
    <w:p>
      <w:pPr>
        <w:rPr>
          <w:color w:val="000000" w:themeColor="text1"/>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ind w:firstLine="641" w:firstLineChars="200"/>
        <w:textAlignment w:val="auto"/>
        <w:rPr>
          <w:rFonts w:hint="default" w:ascii="仿宋_GB2312" w:hAnsi="仿宋_GB2312" w:eastAsia="仿宋_GB2312" w:cs="仿宋_GB2312"/>
          <w:b/>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1.品牌由来</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default" w:ascii="Times New Roman" w:hAnsi="Times New Roman" w:eastAsia="楷体_GB2312" w:cs="Times New Roman"/>
          <w:b/>
          <w:bCs/>
          <w:color w:val="000000" w:themeColor="text1"/>
          <w:sz w:val="32"/>
          <w:szCs w:val="32"/>
          <w:lang w:val="en-US" w:eastAsia="zh-CN"/>
          <w14:textFill>
            <w14:solidFill>
              <w14:schemeClr w14:val="tx1"/>
            </w14:solidFill>
          </w14:textFill>
        </w:rPr>
      </w:pPr>
      <w:r>
        <w:rPr>
          <w:rFonts w:hint="default" w:ascii="Times New Roman" w:hAnsi="Times New Roman" w:eastAsia="仿宋_GB2312" w:cs="Times New Roman"/>
          <w:color w:val="000000" w:themeColor="text1"/>
          <w:sz w:val="32"/>
          <w:szCs w:val="32"/>
          <w:lang w:eastAsia="zh-CN"/>
          <w14:textFill>
            <w14:solidFill>
              <w14:schemeClr w14:val="tx1"/>
            </w14:solidFill>
          </w14:textFill>
        </w:rPr>
        <w:t>“天赋河套”农产品区域公用品牌是巴彦淖尔市</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依托得天独厚的资源禀赋，围绕建设河套全域绿色有机高端农畜产品生产加工输出基地</w:t>
      </w:r>
      <w:r>
        <w:rPr>
          <w:rFonts w:hint="eastAsia" w:eastAsia="仿宋_GB2312" w:cs="Times New Roman"/>
          <w:color w:val="000000" w:themeColor="text1"/>
          <w:sz w:val="32"/>
          <w:szCs w:val="32"/>
          <w:lang w:val="en-US" w:eastAsia="zh-CN"/>
          <w14:textFill>
            <w14:solidFill>
              <w14:schemeClr w14:val="tx1"/>
            </w14:solidFill>
          </w14:textFill>
        </w:rPr>
        <w:t>为</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目标，坚持“生态优先、绿色发展”</w:t>
      </w:r>
      <w:r>
        <w:rPr>
          <w:rFonts w:hint="eastAsia" w:eastAsia="仿宋_GB2312" w:cs="Times New Roman"/>
          <w:color w:val="000000" w:themeColor="text1"/>
          <w:sz w:val="32"/>
          <w:szCs w:val="32"/>
          <w:lang w:val="en-US" w:eastAsia="zh-CN"/>
          <w14:textFill>
            <w14:solidFill>
              <w14:schemeClr w14:val="tx1"/>
            </w14:solidFill>
          </w14:textFill>
        </w:rPr>
        <w:t>为</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导向，以“天赋河套”集体商标为基础而注册的农产品区域公用品牌。</w:t>
      </w:r>
    </w:p>
    <w:p>
      <w:pPr>
        <w:keepNext w:val="0"/>
        <w:keepLines w:val="0"/>
        <w:pageBreakBefore w:val="0"/>
        <w:widowControl w:val="0"/>
        <w:numPr>
          <w:ilvl w:val="0"/>
          <w:numId w:val="0"/>
        </w:numPr>
        <w:kinsoku/>
        <w:wordWrap/>
        <w:overflowPunct/>
        <w:topLinePunct w:val="0"/>
        <w:autoSpaceDE/>
        <w:autoSpaceDN/>
        <w:bidi w:val="0"/>
        <w:adjustRightInd/>
        <w:snapToGrid/>
        <w:ind w:firstLine="641" w:firstLineChars="200"/>
        <w:textAlignment w:val="auto"/>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ind w:firstLine="641" w:firstLineChars="200"/>
        <w:textAlignment w:val="auto"/>
        <w:rPr>
          <w:rFonts w:ascii="仿宋_GB2312" w:hAnsi="仿宋_GB2312" w:eastAsia="仿宋_GB2312" w:cs="仿宋_GB2312"/>
          <w:b/>
          <w:bCs/>
          <w:color w:val="000000" w:themeColor="text1"/>
          <w:sz w:val="32"/>
          <w:szCs w:val="32"/>
          <w14:textFill>
            <w14:solidFill>
              <w14:schemeClr w14:val="tx1"/>
            </w14:solidFill>
          </w14:textFill>
        </w:rPr>
      </w:pP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2.</w:t>
      </w:r>
      <w:r>
        <w:rPr>
          <w:rFonts w:hint="eastAsia" w:ascii="仿宋_GB2312" w:hAnsi="仿宋_GB2312" w:eastAsia="仿宋_GB2312" w:cs="仿宋_GB2312"/>
          <w:b/>
          <w:bCs/>
          <w:color w:val="000000" w:themeColor="text1"/>
          <w:sz w:val="32"/>
          <w:szCs w:val="32"/>
          <w14:textFill>
            <w14:solidFill>
              <w14:schemeClr w14:val="tx1"/>
            </w14:solidFill>
          </w14:textFill>
        </w:rPr>
        <w:t>品牌命名</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巴彦淖尔自古以来就是富庶之地，是“黄河百害，唯富一套”的所指之地</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巴彦淖尔集中了中国除海洋之外的所有地形地貌，山水林田湖草沙构成了有机的生命共同体，拥有无可比拟的独特性和优越性</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eastAsia="仿宋_GB2312"/>
          <w:bCs/>
          <w:color w:val="000000" w:themeColor="text1"/>
          <w:sz w:val="32"/>
          <w:szCs w:val="32"/>
          <w14:textFill>
            <w14:solidFill>
              <w14:schemeClr w14:val="tx1"/>
            </w14:solidFill>
          </w14:textFill>
        </w:rPr>
        <w:t>天赐沃土、地形天生、天然灌溉、滋味天成</w:t>
      </w:r>
      <w:r>
        <w:rPr>
          <w:rFonts w:hint="eastAsia" w:eastAsia="仿宋_GB2312"/>
          <w:bCs/>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遂将品牌名称命名为：</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天赋河套</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jc w:val="both"/>
        <w:textAlignment w:val="auto"/>
        <w:outlineLvl w:val="9"/>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ind w:firstLine="641" w:firstLineChars="200"/>
        <w:textAlignment w:val="auto"/>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3.价值支撑</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农业禀赋</w:t>
      </w:r>
      <w:r>
        <w:rPr>
          <w:rFonts w:hint="default" w:ascii="仿宋_GB2312" w:hAnsi="仿宋_GB2312" w:eastAsia="仿宋_GB2312" w:cs="仿宋_GB2312"/>
          <w:color w:val="000000" w:themeColor="text1"/>
          <w:sz w:val="32"/>
          <w:szCs w:val="32"/>
          <w:lang w:eastAsia="zh-CN"/>
          <w14:textFill>
            <w14:solidFill>
              <w14:schemeClr w14:val="tx1"/>
            </w14:solidFill>
          </w14:textFill>
        </w:rPr>
        <w:t>天然</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、农耕匠心渊远、农牧技艺融合、农情管理标准、农人智慧高新、农产创新优质。</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jc w:val="both"/>
        <w:textAlignment w:val="auto"/>
        <w:outlineLvl w:val="9"/>
        <w:rPr>
          <w:rFonts w:hint="default" w:ascii="仿宋_GB2312" w:hAnsi="仿宋_GB2312" w:eastAsia="仿宋_GB2312" w:cs="仿宋_GB2312"/>
          <w:color w:val="000000" w:themeColor="text1"/>
          <w:sz w:val="32"/>
          <w:szCs w:val="32"/>
          <w:lang w:val="en-US" w:eastAsia="zh-CN"/>
          <w14:textFill>
            <w14:solidFill>
              <w14:schemeClr w14:val="tx1"/>
            </w14:solidFill>
          </w14:textFill>
        </w:rPr>
      </w:pPr>
      <w:bookmarkStart w:id="0" w:name="_GoBack"/>
      <w:bookmarkEnd w:id="0"/>
    </w:p>
    <w:p>
      <w:pPr>
        <w:pStyle w:val="7"/>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1" w:firstLineChars="200"/>
        <w:jc w:val="both"/>
        <w:textAlignment w:val="auto"/>
        <w:outlineLvl w:val="9"/>
        <w:rPr>
          <w:rFonts w:hint="eastAsia" w:ascii="仿宋_GB2312" w:hAnsi="仿宋_GB2312" w:eastAsia="仿宋_GB2312" w:cs="仿宋_GB2312"/>
          <w:b/>
          <w:bCs/>
          <w:color w:val="000000" w:themeColor="text1"/>
          <w:sz w:val="32"/>
          <w:szCs w:val="32"/>
          <w14:textFill>
            <w14:solidFill>
              <w14:schemeClr w14:val="tx1"/>
            </w14:solidFill>
          </w14:textFill>
        </w:rPr>
      </w:pP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4.</w:t>
      </w:r>
      <w:r>
        <w:rPr>
          <w:rFonts w:hint="eastAsia" w:ascii="仿宋_GB2312" w:hAnsi="仿宋_GB2312" w:eastAsia="仿宋_GB2312" w:cs="仿宋_GB2312"/>
          <w:b/>
          <w:bCs/>
          <w:color w:val="000000" w:themeColor="text1"/>
          <w:sz w:val="32"/>
          <w:szCs w:val="32"/>
          <w14:textFill>
            <w14:solidFill>
              <w14:schemeClr w14:val="tx1"/>
            </w14:solidFill>
          </w14:textFill>
        </w:rPr>
        <w:t>品牌符号</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r>
        <w:rPr>
          <w:rFonts w:hint="eastAsia" w:eastAsia="仿宋_GB2312" w:cs="Times New Roman"/>
          <w:color w:val="000000" w:themeColor="text1"/>
          <w:sz w:val="32"/>
          <w:szCs w:val="32"/>
          <w:lang w:val="en-US" w:eastAsia="zh-CN"/>
          <w14:textFill>
            <w14:solidFill>
              <w14:schemeClr w14:val="tx1"/>
            </w14:solidFill>
          </w14:textFill>
        </w:rPr>
        <w:t>品牌主形象</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以阴山岩刻的笔触再现“河套”二字，寓意农产品的原生态和淳真品质</w:t>
      </w:r>
      <w:r>
        <w:rPr>
          <w:rFonts w:hint="eastAsia" w:eastAsia="仿宋_GB2312" w:cs="Times New Roman"/>
          <w:color w:val="000000" w:themeColor="text1"/>
          <w:sz w:val="32"/>
          <w:szCs w:val="32"/>
          <w:lang w:val="en-US" w:eastAsia="zh-CN"/>
          <w14:textFill>
            <w14:solidFill>
              <w14:schemeClr w14:val="tx1"/>
            </w14:solidFill>
          </w14:textFill>
        </w:rPr>
        <w:t>；以黄河</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“几”字弯</w:t>
      </w:r>
      <w:r>
        <w:rPr>
          <w:rFonts w:hint="eastAsia" w:eastAsia="仿宋_GB2312" w:cs="Times New Roman"/>
          <w:color w:val="000000" w:themeColor="text1"/>
          <w:sz w:val="32"/>
          <w:szCs w:val="32"/>
          <w:lang w:val="en-US" w:eastAsia="zh-CN"/>
          <w14:textFill>
            <w14:solidFill>
              <w14:schemeClr w14:val="tx1"/>
            </w14:solidFill>
          </w14:textFill>
        </w:rPr>
        <w:t>线条</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和蒙古包弧形帐顶意象</w:t>
      </w:r>
      <w:r>
        <w:rPr>
          <w:rFonts w:hint="eastAsia" w:eastAsia="仿宋_GB2312" w:cs="Times New Roman"/>
          <w:color w:val="000000" w:themeColor="text1"/>
          <w:sz w:val="32"/>
          <w:szCs w:val="32"/>
          <w:lang w:val="en-US" w:eastAsia="zh-CN"/>
          <w14:textFill>
            <w14:solidFill>
              <w14:schemeClr w14:val="tx1"/>
            </w14:solidFill>
          </w14:textFill>
        </w:rPr>
        <w:t>融入主形象文字图</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形</w:t>
      </w:r>
      <w:r>
        <w:rPr>
          <w:rFonts w:hint="eastAsia" w:eastAsia="仿宋_GB2312" w:cs="Times New Roman"/>
          <w:color w:val="000000" w:themeColor="text1"/>
          <w:sz w:val="32"/>
          <w:szCs w:val="32"/>
          <w:lang w:val="en-US" w:eastAsia="zh-CN"/>
          <w14:textFill>
            <w14:solidFill>
              <w14:schemeClr w14:val="tx1"/>
            </w14:solidFill>
          </w14:textFill>
        </w:rPr>
        <w:t>，</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彰显地域背书</w:t>
      </w:r>
      <w:r>
        <w:rPr>
          <w:rFonts w:hint="eastAsia" w:eastAsia="仿宋_GB2312" w:cs="Times New Roman"/>
          <w:color w:val="000000" w:themeColor="text1"/>
          <w:sz w:val="32"/>
          <w:szCs w:val="32"/>
          <w:lang w:val="en-US" w:eastAsia="zh-CN"/>
          <w14:textFill>
            <w14:solidFill>
              <w14:schemeClr w14:val="tx1"/>
            </w14:solidFill>
          </w14:textFill>
        </w:rPr>
        <w:t>，</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增强识别性。黄色代表河套平原农产品丰收场景，寓意农耕文明；蓝色代表湖泊和天空，寓意生态环境；绿色代表草原和生命力，寓意游牧文化；白色代表蒙古包帐顶，寓意民族风情。</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p>
    <w:p>
      <w:pPr>
        <w:pStyle w:val="2"/>
        <w:keepNext w:val="0"/>
        <w:keepLines w:val="0"/>
        <w:pageBreakBefore w:val="0"/>
        <w:widowControl w:val="0"/>
        <w:numPr>
          <w:ilvl w:val="0"/>
          <w:numId w:val="0"/>
        </w:numPr>
        <w:kinsoku/>
        <w:wordWrap/>
        <w:overflowPunct/>
        <w:topLinePunct w:val="0"/>
        <w:autoSpaceDE/>
        <w:autoSpaceDN/>
        <w:bidi w:val="0"/>
        <w:adjustRightInd/>
        <w:snapToGrid/>
        <w:ind w:firstLine="641" w:firstLineChars="200"/>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5.</w:t>
      </w:r>
      <w:r>
        <w:rPr>
          <w:rFonts w:hint="eastAsia" w:ascii="仿宋_GB2312" w:hAnsi="仿宋_GB2312" w:eastAsia="仿宋_GB2312" w:cs="仿宋_GB2312"/>
          <w:b/>
          <w:bCs/>
          <w:color w:val="000000" w:themeColor="text1"/>
          <w:sz w:val="32"/>
          <w:szCs w:val="32"/>
          <w14:textFill>
            <w14:solidFill>
              <w14:schemeClr w14:val="tx1"/>
            </w14:solidFill>
          </w14:textFill>
        </w:rPr>
        <w:t>品牌口号</w:t>
      </w:r>
      <w:r>
        <w:rPr>
          <w:rFonts w:hint="eastAsia" w:ascii="仿宋_GB2312" w:hAnsi="仿宋_GB2312" w:eastAsia="仿宋_GB2312" w:cs="仿宋_GB2312"/>
          <w:b/>
          <w:bCs/>
          <w:color w:val="000000" w:themeColor="text1"/>
          <w:sz w:val="32"/>
          <w:szCs w:val="32"/>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天赋河套 世界共享</w:t>
      </w:r>
    </w:p>
    <w:p>
      <w:pPr>
        <w:keepNext w:val="0"/>
        <w:keepLines w:val="0"/>
        <w:pageBreakBefore w:val="0"/>
        <w:widowControl w:val="0"/>
        <w:numPr>
          <w:ilvl w:val="0"/>
          <w:numId w:val="0"/>
        </w:numPr>
        <w:kinsoku/>
        <w:wordWrap/>
        <w:overflowPunct/>
        <w:topLinePunct w:val="0"/>
        <w:autoSpaceDE/>
        <w:autoSpaceDN/>
        <w:bidi w:val="0"/>
        <w:adjustRightInd/>
        <w:snapToGrid/>
        <w:ind w:firstLine="641" w:firstLineChars="200"/>
        <w:textAlignment w:val="auto"/>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6.品牌使命：</w:t>
      </w:r>
    </w:p>
    <w:p>
      <w:pPr>
        <w:keepNext w:val="0"/>
        <w:keepLines w:val="0"/>
        <w:pageBreakBefore w:val="0"/>
        <w:widowControl w:val="0"/>
        <w:numPr>
          <w:ilvl w:val="0"/>
          <w:numId w:val="0"/>
        </w:numPr>
        <w:kinsoku/>
        <w:wordWrap/>
        <w:overflowPunct/>
        <w:topLinePunct w:val="0"/>
        <w:autoSpaceDE/>
        <w:autoSpaceDN/>
        <w:bidi w:val="0"/>
        <w:adjustRightInd/>
        <w:snapToGrid/>
        <w:ind w:firstLine="680" w:firstLineChars="200"/>
        <w:textAlignment w:val="auto"/>
        <w:rPr>
          <w:rFonts w:hint="default" w:ascii="仿宋_GB2312" w:hAnsi="仿宋_GB2312" w:eastAsia="仿宋_GB2312" w:cs="仿宋_GB2312"/>
          <w:i w:val="0"/>
          <w:caps w:val="0"/>
          <w:color w:val="000000" w:themeColor="text1"/>
          <w:spacing w:val="10"/>
          <w:sz w:val="32"/>
          <w:szCs w:val="32"/>
          <w:shd w:val="clear" w:fill="FFFFFF"/>
          <w:lang w:val="en-US" w:eastAsia="zh-CN"/>
          <w14:textFill>
            <w14:solidFill>
              <w14:schemeClr w14:val="tx1"/>
            </w14:solidFill>
          </w14:textFill>
        </w:rPr>
      </w:pPr>
      <w:r>
        <w:rPr>
          <w:rFonts w:hint="eastAsia" w:ascii="仿宋_GB2312" w:hAnsi="仿宋_GB2312" w:eastAsia="仿宋_GB2312" w:cs="仿宋_GB2312"/>
          <w:i w:val="0"/>
          <w:caps w:val="0"/>
          <w:color w:val="000000" w:themeColor="text1"/>
          <w:spacing w:val="10"/>
          <w:sz w:val="32"/>
          <w:szCs w:val="32"/>
          <w:shd w:val="clear" w:fill="FFFFFF"/>
          <w:lang w:val="en-US" w:eastAsia="zh-CN"/>
          <w14:textFill>
            <w14:solidFill>
              <w14:schemeClr w14:val="tx1"/>
            </w14:solidFill>
          </w14:textFill>
        </w:rPr>
        <w:t>巴彦淖尔市</w:t>
      </w:r>
      <w:r>
        <w:rPr>
          <w:rFonts w:hint="eastAsia" w:ascii="仿宋_GB2312" w:hAnsi="仿宋_GB2312" w:eastAsia="仿宋_GB2312" w:cs="仿宋_GB2312"/>
          <w:i w:val="0"/>
          <w:caps w:val="0"/>
          <w:color w:val="000000" w:themeColor="text1"/>
          <w:spacing w:val="10"/>
          <w:sz w:val="32"/>
          <w:szCs w:val="32"/>
          <w:shd w:val="clear" w:fill="FFFFFF"/>
          <w14:textFill>
            <w14:solidFill>
              <w14:schemeClr w14:val="tx1"/>
            </w14:solidFill>
          </w14:textFill>
        </w:rPr>
        <w:t>委政府深入贯彻落实习近平总书记</w:t>
      </w:r>
      <w:r>
        <w:rPr>
          <w:rFonts w:hint="eastAsia" w:ascii="仿宋_GB2312" w:hAnsi="仿宋_GB2312" w:eastAsia="仿宋_GB2312" w:cs="仿宋_GB2312"/>
          <w:i w:val="0"/>
          <w:caps w:val="0"/>
          <w:color w:val="000000" w:themeColor="text1"/>
          <w:spacing w:val="10"/>
          <w:sz w:val="32"/>
          <w:szCs w:val="32"/>
          <w:shd w:val="clear" w:fill="FFFFFF"/>
          <w:lang w:eastAsia="zh-CN"/>
          <w14:textFill>
            <w14:solidFill>
              <w14:schemeClr w14:val="tx1"/>
            </w14:solidFill>
          </w14:textFill>
        </w:rPr>
        <w:t>“</w:t>
      </w:r>
      <w:r>
        <w:rPr>
          <w:rFonts w:hint="eastAsia" w:ascii="仿宋_GB2312" w:hAnsi="仿宋_GB2312" w:eastAsia="仿宋_GB2312" w:cs="仿宋_GB2312"/>
          <w:i w:val="0"/>
          <w:caps w:val="0"/>
          <w:color w:val="000000" w:themeColor="text1"/>
          <w:spacing w:val="10"/>
          <w:sz w:val="32"/>
          <w:szCs w:val="32"/>
          <w:shd w:val="clear" w:fill="FFFFFF"/>
          <w14:textFill>
            <w14:solidFill>
              <w14:schemeClr w14:val="tx1"/>
            </w14:solidFill>
          </w14:textFill>
        </w:rPr>
        <w:t>绿水青山就是金山银山</w:t>
      </w:r>
      <w:r>
        <w:rPr>
          <w:rFonts w:hint="eastAsia" w:ascii="仿宋_GB2312" w:hAnsi="仿宋_GB2312" w:eastAsia="仿宋_GB2312" w:cs="仿宋_GB2312"/>
          <w:i w:val="0"/>
          <w:caps w:val="0"/>
          <w:color w:val="000000" w:themeColor="text1"/>
          <w:spacing w:val="10"/>
          <w:sz w:val="32"/>
          <w:szCs w:val="32"/>
          <w:shd w:val="clear" w:fill="FFFFFF"/>
          <w:lang w:eastAsia="zh-CN"/>
          <w14:textFill>
            <w14:solidFill>
              <w14:schemeClr w14:val="tx1"/>
            </w14:solidFill>
          </w14:textFill>
        </w:rPr>
        <w:t>”</w:t>
      </w:r>
      <w:r>
        <w:rPr>
          <w:rFonts w:hint="eastAsia" w:ascii="仿宋_GB2312" w:hAnsi="仿宋_GB2312" w:eastAsia="仿宋_GB2312" w:cs="仿宋_GB2312"/>
          <w:i w:val="0"/>
          <w:caps w:val="0"/>
          <w:color w:val="000000" w:themeColor="text1"/>
          <w:spacing w:val="10"/>
          <w:sz w:val="32"/>
          <w:szCs w:val="32"/>
          <w:shd w:val="clear" w:fill="FFFFFF"/>
          <w14:textFill>
            <w14:solidFill>
              <w14:schemeClr w14:val="tx1"/>
            </w14:solidFill>
          </w14:textFill>
        </w:rPr>
        <w:t>发展</w:t>
      </w:r>
      <w:r>
        <w:rPr>
          <w:rFonts w:hint="eastAsia" w:ascii="仿宋_GB2312" w:hAnsi="仿宋_GB2312" w:eastAsia="仿宋_GB2312" w:cs="仿宋_GB2312"/>
          <w:i w:val="0"/>
          <w:caps w:val="0"/>
          <w:color w:val="000000" w:themeColor="text1"/>
          <w:spacing w:val="10"/>
          <w:sz w:val="32"/>
          <w:szCs w:val="32"/>
          <w:shd w:val="clear" w:fill="FFFFFF"/>
          <w:lang w:val="en-US" w:eastAsia="zh-CN"/>
          <w14:textFill>
            <w14:solidFill>
              <w14:schemeClr w14:val="tx1"/>
            </w14:solidFill>
          </w14:textFill>
        </w:rPr>
        <w:t>战略，坚持</w:t>
      </w:r>
      <w:r>
        <w:rPr>
          <w:rFonts w:hint="eastAsia" w:ascii="仿宋_GB2312" w:hAnsi="仿宋_GB2312" w:eastAsia="仿宋_GB2312" w:cs="仿宋_GB2312"/>
          <w:i w:val="0"/>
          <w:caps w:val="0"/>
          <w:color w:val="000000" w:themeColor="text1"/>
          <w:spacing w:val="10"/>
          <w:sz w:val="32"/>
          <w:szCs w:val="32"/>
          <w:shd w:val="clear" w:fill="FFFFFF"/>
          <w14:textFill>
            <w14:solidFill>
              <w14:schemeClr w14:val="tx1"/>
            </w14:solidFill>
          </w14:textFill>
        </w:rPr>
        <w:t>质量兴农、绿色兴农、品牌强农</w:t>
      </w:r>
      <w:r>
        <w:rPr>
          <w:rFonts w:hint="eastAsia" w:ascii="仿宋_GB2312" w:hAnsi="仿宋_GB2312" w:eastAsia="仿宋_GB2312" w:cs="仿宋_GB2312"/>
          <w:i w:val="0"/>
          <w:caps w:val="0"/>
          <w:color w:val="000000" w:themeColor="text1"/>
          <w:spacing w:val="10"/>
          <w:sz w:val="32"/>
          <w:szCs w:val="32"/>
          <w:shd w:val="clear" w:fill="FFFFFF"/>
          <w:lang w:eastAsia="zh-CN"/>
          <w14:textFill>
            <w14:solidFill>
              <w14:schemeClr w14:val="tx1"/>
            </w14:solidFill>
          </w14:textFill>
        </w:rPr>
        <w:t>，</w:t>
      </w:r>
      <w:r>
        <w:rPr>
          <w:rFonts w:hint="eastAsia" w:ascii="仿宋_GB2312" w:hAnsi="仿宋_GB2312" w:eastAsia="仿宋_GB2312" w:cs="仿宋_GB2312"/>
          <w:i w:val="0"/>
          <w:caps w:val="0"/>
          <w:color w:val="000000" w:themeColor="text1"/>
          <w:spacing w:val="10"/>
          <w:sz w:val="32"/>
          <w:szCs w:val="32"/>
          <w:shd w:val="clear" w:fill="FFFFFF"/>
          <w14:textFill>
            <w14:solidFill>
              <w14:schemeClr w14:val="tx1"/>
            </w14:solidFill>
          </w14:textFill>
        </w:rPr>
        <w:t>以</w:t>
      </w:r>
      <w:r>
        <w:rPr>
          <w:rFonts w:hint="eastAsia" w:ascii="仿宋_GB2312" w:hAnsi="仿宋_GB2312" w:eastAsia="仿宋_GB2312" w:cs="仿宋_GB2312"/>
          <w:i w:val="0"/>
          <w:caps w:val="0"/>
          <w:color w:val="000000" w:themeColor="text1"/>
          <w:spacing w:val="10"/>
          <w:sz w:val="32"/>
          <w:szCs w:val="32"/>
          <w:shd w:val="clear" w:fill="FFFFFF"/>
          <w:lang w:val="en-US" w:eastAsia="zh-CN"/>
          <w14:textFill>
            <w14:solidFill>
              <w14:schemeClr w14:val="tx1"/>
            </w14:solidFill>
          </w14:textFill>
        </w:rPr>
        <w:t>打造</w:t>
      </w:r>
      <w:r>
        <w:rPr>
          <w:rFonts w:hint="eastAsia" w:ascii="仿宋_GB2312" w:hAnsi="仿宋_GB2312" w:eastAsia="仿宋_GB2312" w:cs="仿宋_GB2312"/>
          <w:i w:val="0"/>
          <w:caps w:val="0"/>
          <w:color w:val="000000" w:themeColor="text1"/>
          <w:spacing w:val="10"/>
          <w:sz w:val="32"/>
          <w:szCs w:val="32"/>
          <w:shd w:val="clear" w:fill="FFFFFF"/>
          <w14:textFill>
            <w14:solidFill>
              <w14:schemeClr w14:val="tx1"/>
            </w14:solidFill>
          </w14:textFill>
        </w:rPr>
        <w:t>“天赋河套”</w:t>
      </w:r>
      <w:r>
        <w:rPr>
          <w:rFonts w:hint="eastAsia" w:ascii="仿宋_GB2312" w:hAnsi="仿宋_GB2312" w:eastAsia="仿宋_GB2312" w:cs="仿宋_GB2312"/>
          <w:i w:val="0"/>
          <w:caps w:val="0"/>
          <w:color w:val="000000" w:themeColor="text1"/>
          <w:spacing w:val="10"/>
          <w:sz w:val="32"/>
          <w:szCs w:val="32"/>
          <w:shd w:val="clear" w:fill="FFFFFF"/>
          <w:lang w:val="en-US" w:eastAsia="zh-CN"/>
          <w14:textFill>
            <w14:solidFill>
              <w14:schemeClr w14:val="tx1"/>
            </w14:solidFill>
          </w14:textFill>
        </w:rPr>
        <w:t>农产品区域公用品牌</w:t>
      </w:r>
      <w:r>
        <w:rPr>
          <w:rFonts w:hint="eastAsia" w:ascii="仿宋_GB2312" w:hAnsi="仿宋_GB2312" w:eastAsia="仿宋_GB2312" w:cs="仿宋_GB2312"/>
          <w:i w:val="0"/>
          <w:caps w:val="0"/>
          <w:color w:val="000000" w:themeColor="text1"/>
          <w:spacing w:val="10"/>
          <w:sz w:val="32"/>
          <w:szCs w:val="32"/>
          <w:shd w:val="clear" w:fill="FFFFFF"/>
          <w14:textFill>
            <w14:solidFill>
              <w14:schemeClr w14:val="tx1"/>
            </w14:solidFill>
          </w14:textFill>
        </w:rPr>
        <w:t>为引擎，推</w:t>
      </w:r>
      <w:r>
        <w:rPr>
          <w:rFonts w:hint="eastAsia" w:ascii="仿宋_GB2312" w:hAnsi="仿宋_GB2312" w:eastAsia="仿宋_GB2312" w:cs="仿宋_GB2312"/>
          <w:i w:val="0"/>
          <w:caps w:val="0"/>
          <w:color w:val="000000" w:themeColor="text1"/>
          <w:spacing w:val="10"/>
          <w:sz w:val="32"/>
          <w:szCs w:val="32"/>
          <w:shd w:val="clear" w:fill="FFFFFF"/>
          <w:lang w:val="en-US" w:eastAsia="zh-CN"/>
          <w14:textFill>
            <w14:solidFill>
              <w14:schemeClr w14:val="tx1"/>
            </w14:solidFill>
          </w14:textFill>
        </w:rPr>
        <w:t>进</w:t>
      </w:r>
      <w:r>
        <w:rPr>
          <w:rFonts w:hint="eastAsia" w:ascii="仿宋_GB2312" w:hAnsi="仿宋_GB2312" w:eastAsia="仿宋_GB2312" w:cs="仿宋_GB2312"/>
          <w:i w:val="0"/>
          <w:caps w:val="0"/>
          <w:color w:val="000000" w:themeColor="text1"/>
          <w:spacing w:val="10"/>
          <w:sz w:val="32"/>
          <w:szCs w:val="32"/>
          <w:shd w:val="clear" w:fill="FFFFFF"/>
          <w14:textFill>
            <w14:solidFill>
              <w14:schemeClr w14:val="tx1"/>
            </w14:solidFill>
          </w14:textFill>
        </w:rPr>
        <w:t>农业供给侧结构性改革、</w:t>
      </w:r>
      <w:r>
        <w:rPr>
          <w:rFonts w:hint="eastAsia" w:ascii="仿宋_GB2312" w:hAnsi="仿宋_GB2312" w:eastAsia="仿宋_GB2312" w:cs="仿宋_GB2312"/>
          <w:i w:val="0"/>
          <w:caps w:val="0"/>
          <w:color w:val="000000" w:themeColor="text1"/>
          <w:spacing w:val="10"/>
          <w:sz w:val="32"/>
          <w:szCs w:val="32"/>
          <w:shd w:val="clear" w:fill="FFFFFF"/>
          <w:lang w:val="en-US" w:eastAsia="zh-CN"/>
          <w14:textFill>
            <w14:solidFill>
              <w14:schemeClr w14:val="tx1"/>
            </w14:solidFill>
          </w14:textFill>
        </w:rPr>
        <w:t>控制农业</w:t>
      </w:r>
      <w:r>
        <w:rPr>
          <w:rFonts w:hint="eastAsia" w:ascii="仿宋_GB2312" w:hAnsi="仿宋_GB2312" w:eastAsia="仿宋_GB2312" w:cs="仿宋_GB2312"/>
          <w:i w:val="0"/>
          <w:caps w:val="0"/>
          <w:color w:val="000000" w:themeColor="text1"/>
          <w:spacing w:val="10"/>
          <w:sz w:val="32"/>
          <w:szCs w:val="32"/>
          <w:shd w:val="clear" w:fill="FFFFFF"/>
          <w14:textFill>
            <w14:solidFill>
              <w14:schemeClr w14:val="tx1"/>
            </w14:solidFill>
          </w14:textFill>
        </w:rPr>
        <w:t>面源污染、引领绿色产业转型</w:t>
      </w:r>
      <w:r>
        <w:rPr>
          <w:rFonts w:hint="eastAsia" w:ascii="仿宋_GB2312" w:hAnsi="仿宋_GB2312" w:eastAsia="仿宋_GB2312" w:cs="仿宋_GB2312"/>
          <w:i w:val="0"/>
          <w:caps w:val="0"/>
          <w:color w:val="000000" w:themeColor="text1"/>
          <w:spacing w:val="10"/>
          <w:sz w:val="32"/>
          <w:szCs w:val="32"/>
          <w:shd w:val="clear" w:fill="FFFFFF"/>
          <w:lang w:val="en-US" w:eastAsia="zh-CN"/>
          <w14:textFill>
            <w14:solidFill>
              <w14:schemeClr w14:val="tx1"/>
            </w14:solidFill>
          </w14:textFill>
        </w:rPr>
        <w:t>升级</w:t>
      </w:r>
      <w:r>
        <w:rPr>
          <w:rFonts w:hint="eastAsia" w:ascii="仿宋_GB2312" w:hAnsi="仿宋_GB2312" w:eastAsia="仿宋_GB2312" w:cs="仿宋_GB2312"/>
          <w:i w:val="0"/>
          <w:caps w:val="0"/>
          <w:color w:val="000000" w:themeColor="text1"/>
          <w:spacing w:val="10"/>
          <w:sz w:val="32"/>
          <w:szCs w:val="32"/>
          <w:shd w:val="clear" w:fill="FFFFFF"/>
          <w14:textFill>
            <w14:solidFill>
              <w14:schemeClr w14:val="tx1"/>
            </w14:solidFill>
          </w14:textFill>
        </w:rPr>
        <w:t>，全区域、全品类、全产业链</w:t>
      </w:r>
      <w:r>
        <w:rPr>
          <w:rFonts w:hint="eastAsia" w:ascii="仿宋_GB2312" w:hAnsi="仿宋_GB2312" w:eastAsia="仿宋_GB2312" w:cs="仿宋_GB2312"/>
          <w:i w:val="0"/>
          <w:caps w:val="0"/>
          <w:color w:val="000000" w:themeColor="text1"/>
          <w:spacing w:val="10"/>
          <w:sz w:val="32"/>
          <w:szCs w:val="32"/>
          <w:shd w:val="clear" w:fill="FFFFFF"/>
          <w:lang w:eastAsia="zh-CN"/>
          <w14:textFill>
            <w14:solidFill>
              <w14:schemeClr w14:val="tx1"/>
            </w14:solidFill>
          </w14:textFill>
        </w:rPr>
        <w:t>，</w:t>
      </w:r>
      <w:r>
        <w:rPr>
          <w:rFonts w:hint="eastAsia" w:ascii="仿宋_GB2312" w:hAnsi="仿宋_GB2312" w:eastAsia="仿宋_GB2312" w:cs="仿宋_GB2312"/>
          <w:i w:val="0"/>
          <w:caps w:val="0"/>
          <w:color w:val="000000" w:themeColor="text1"/>
          <w:spacing w:val="10"/>
          <w:sz w:val="32"/>
          <w:szCs w:val="32"/>
          <w:shd w:val="clear" w:fill="FFFFFF"/>
          <w14:textFill>
            <w14:solidFill>
              <w14:schemeClr w14:val="tx1"/>
            </w14:solidFill>
          </w14:textFill>
        </w:rPr>
        <w:t>推进</w:t>
      </w:r>
      <w:r>
        <w:rPr>
          <w:rFonts w:hint="eastAsia" w:ascii="仿宋_GB2312" w:hAnsi="仿宋_GB2312" w:eastAsia="仿宋_GB2312" w:cs="仿宋_GB2312"/>
          <w:i w:val="0"/>
          <w:caps w:val="0"/>
          <w:color w:val="000000" w:themeColor="text1"/>
          <w:spacing w:val="10"/>
          <w:sz w:val="32"/>
          <w:szCs w:val="32"/>
          <w:shd w:val="clear" w:fill="FFFFFF"/>
          <w:lang w:val="en-US" w:eastAsia="zh-CN"/>
          <w14:textFill>
            <w14:solidFill>
              <w14:schemeClr w14:val="tx1"/>
            </w14:solidFill>
          </w14:textFill>
        </w:rPr>
        <w:t>品牌建设，让巴彦淖尔的农业更强劲，农村更美丽，农民更富裕。</w:t>
      </w:r>
    </w:p>
    <w:p>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仿宋_GB2312" w:hAnsi="仿宋_GB2312" w:eastAsia="仿宋_GB2312" w:cs="仿宋_GB2312"/>
          <w:i w:val="0"/>
          <w:caps w:val="0"/>
          <w:color w:val="000000" w:themeColor="text1"/>
          <w:spacing w:val="10"/>
          <w:sz w:val="32"/>
          <w:szCs w:val="32"/>
          <w:shd w:val="clear" w:fill="FFFFFF"/>
          <w:lang w:val="en-US" w:eastAsia="zh-CN"/>
          <w14:textFill>
            <w14:solidFill>
              <w14:schemeClr w14:val="tx1"/>
            </w14:solidFill>
          </w14:textFill>
        </w:rPr>
      </w:pPr>
    </w:p>
    <w:p>
      <w:pPr>
        <w:pStyle w:val="2"/>
        <w:ind w:firstLine="641" w:firstLineChars="200"/>
        <w:rPr>
          <w:color w:val="000000" w:themeColor="text1"/>
          <w14:textFill>
            <w14:solidFill>
              <w14:schemeClr w14:val="tx1"/>
            </w14:solidFill>
          </w14:textFill>
        </w:rPr>
      </w:pPr>
      <w:r>
        <w:rPr>
          <w:rFonts w:hint="eastAsia" w:ascii="仿宋_GB2312" w:hAnsi="仿宋_GB2312" w:eastAsia="仿宋_GB2312" w:cs="仿宋_GB2312"/>
          <w:b/>
          <w:bCs/>
          <w:color w:val="000000" w:themeColor="text1"/>
          <w:sz w:val="32"/>
          <w:szCs w:val="32"/>
          <w14:textFill>
            <w14:solidFill>
              <w14:schemeClr w14:val="tx1"/>
            </w14:solidFill>
          </w14:textFill>
        </w:rPr>
        <w:t>“天赋河套”七大品类</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1" w:firstLineChars="200"/>
        <w:jc w:val="left"/>
        <w:textAlignment w:val="auto"/>
        <w:outlineLvl w:val="0"/>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1.粮油——“一季好粮”</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丰地产好粮，好麦出好面。河套平原是全球硬质玻璃体红皮小麦黄金种植带，世界三大优质小麦主产区，全国绿色食品原料标准化生产基地；河套小麦平均蛋白质含量15.1%、面筋含量35.4%、粉质稳定时间7分钟、拉伸阻力450EU、沉降值33左右，被誉为“五项全能”冠军小麦；1公斤河套雪花粉可以拉出200万根细滑如丝的拉面，累计长度是山海关到嘉峪关的距离，四次创造了吉尼斯世界纪录。</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000000" w:themeColor="text1"/>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1" w:firstLineChars="200"/>
        <w:jc w:val="left"/>
        <w:textAlignment w:val="auto"/>
        <w:outlineLvl w:val="0"/>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2.肉乳绒——“一座羊都”</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以地定养，均衡出栏。</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巴彦淖尔年均牲畜饲养量2300万只，标准化规模养殖场</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4543</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处，规模占比70%以上；巴彦淖尔是全国地级市中唯一能够四季均衡出栏的肉羊养殖加工基地，是全国最大的有机原奶生产加工基地，是全国三大羊绒流通集散地之一；巴彦淖尔年均羊肉产量</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19.1</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万吨，年分割上市量全国第一，冬奥会、奥运会、世博会等重要活动50%以上的羊肉来自于此。</w:t>
      </w:r>
    </w:p>
    <w:p>
      <w:pPr>
        <w:rPr>
          <w:rFonts w:hint="eastAsia"/>
          <w:color w:val="000000" w:themeColor="text1"/>
          <w:lang w:val="en-US" w:eastAsia="zh-CN"/>
          <w14:textFill>
            <w14:solidFill>
              <w14:schemeClr w14:val="tx1"/>
            </w14:solidFill>
          </w14:textFill>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1" w:firstLineChars="200"/>
        <w:jc w:val="left"/>
        <w:textAlignment w:val="auto"/>
        <w:outlineLvl w:val="0"/>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3.瓜果蔬菜——“一口浓香”</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000000" w:themeColor="text1"/>
          <w:spacing w:val="0"/>
          <w:sz w:val="32"/>
          <w:szCs w:val="32"/>
          <w:u w:val="none"/>
          <w:shd w:val="clear" w:fill="FFFFFF"/>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金色河套，瓜果飘香。巴彦淖尔是闻名全国的“瓜果之乡”。磴口华莱士被誉为“天下第一瓜”，河套苹果梨被冠以“中国丑梨”之美誉，五原黄柿子、晏安和桥灯笼红、黑柳子白梨脆是获得中国同品类中唯一的“地理标志认证”产品；河套蜜瓜、三道桥西瓜也是闻名遐迩，距今已有100多年种植历史，曾有诗云：“刀破苍玉瓶，一团红水晶。邵平恨生早，难为后套情”。</w:t>
      </w:r>
    </w:p>
    <w:p>
      <w:pPr>
        <w:rPr>
          <w:rFonts w:hint="eastAsia"/>
          <w:color w:val="000000" w:themeColor="text1"/>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1" w:firstLineChars="200"/>
        <w:jc w:val="left"/>
        <w:textAlignment w:val="auto"/>
        <w:outlineLvl w:val="0"/>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4.蒙（中）药材——“一剂良方”</w:t>
      </w:r>
    </w:p>
    <w:p>
      <w:pPr>
        <w:pStyle w:val="2"/>
        <w:ind w:firstLine="640" w:firstLineChars="200"/>
        <w:rPr>
          <w:rFonts w:hint="eastAsia"/>
          <w:color w:val="000000" w:themeColor="text1"/>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红色公牛”蒙中药材。乌兰布和沙漠是我国八大沙漠之一，“乌兰布和”在蒙古语中意为“红色公牛”，总面积1500万亩，在巴彦淖尔市境内部分506万亩；巴彦淖尔蒙中药材种植面积50万亩左右，以肉苁蓉、锁阳、红花、枸杞、黄芪、甘草等为主，其中“沙漠人参”肉苁蓉被列为国家二级保护品种，河套枸杞、甘草质量均居全国首位；巴彦淖尔市坚持“生态固沙、经济育沙、以林治沙”的发展战略，逐步在治理生态环境的过程中，做大做强经济林沙产业。</w:t>
      </w:r>
    </w:p>
    <w:p>
      <w:pPr>
        <w:pStyle w:val="2"/>
        <w:keepNext w:val="0"/>
        <w:keepLines w:val="0"/>
        <w:pageBreakBefore w:val="0"/>
        <w:widowControl w:val="0"/>
        <w:kinsoku/>
        <w:wordWrap/>
        <w:overflowPunct/>
        <w:topLinePunct w:val="0"/>
        <w:autoSpaceDE/>
        <w:autoSpaceDN/>
        <w:bidi w:val="0"/>
        <w:adjustRightInd/>
        <w:snapToGrid/>
        <w:spacing w:line="560" w:lineRule="exact"/>
        <w:ind w:firstLine="961" w:firstLineChars="300"/>
        <w:textAlignment w:val="auto"/>
        <w:rPr>
          <w:rFonts w:hint="eastAsia" w:ascii="仿宋_GB2312" w:hAnsi="仿宋_GB2312" w:eastAsia="仿宋_GB2312" w:cs="仿宋_GB2312"/>
          <w:b/>
          <w:bCs/>
          <w:i w:val="0"/>
          <w:caps w:val="0"/>
          <w:color w:val="000000" w:themeColor="text1"/>
          <w:spacing w:val="0"/>
          <w:sz w:val="32"/>
          <w:szCs w:val="32"/>
          <w:shd w:val="clear" w:fill="FFFFFF"/>
          <w:lang w:val="en-US" w:eastAsia="zh-CN"/>
          <w14:textFill>
            <w14:solidFill>
              <w14:schemeClr w14:val="tx1"/>
            </w14:solidFill>
          </w14:textFill>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1" w:firstLineChars="200"/>
        <w:jc w:val="left"/>
        <w:textAlignment w:val="auto"/>
        <w:outlineLvl w:val="0"/>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5.籽类炒货——“一粒饱满”</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花语亘古，沉默誓爱。巴彦淖尔市是首批河套向日葵中国特色农产品优势区，年均种植面积400</w:t>
      </w:r>
      <w:r>
        <w:rPr>
          <w:rFonts w:hint="eastAsia" w:ascii="仿宋_GB2312" w:hAnsi="仿宋_GB2312" w:eastAsia="仿宋_GB2312" w:cs="仿宋_GB2312"/>
          <w:strike/>
          <w:dstrike w:val="0"/>
          <w:color w:val="000000" w:themeColor="text1"/>
          <w:sz w:val="32"/>
          <w:szCs w:val="32"/>
          <w:lang w:val="en-US" w:eastAsia="zh-CN"/>
          <w14:textFill>
            <w14:solidFill>
              <w14:schemeClr w14:val="tx1"/>
            </w14:solidFill>
          </w14:textFill>
        </w:rPr>
        <w:t>多</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万亩，产量占全国三分之一，面积占全国四分之一；巴彦淖尔有籽类加工企业120家，交易市场55处，年交易量143万吨，是国家和</w:t>
      </w:r>
      <w:r>
        <w:rPr>
          <w:rFonts w:hint="eastAsia" w:ascii="仿宋_GB2312" w:hAnsi="仿宋_GB2312" w:eastAsia="仿宋_GB2312" w:cs="仿宋_GB2312"/>
          <w:strike/>
          <w:dstrike w:val="0"/>
          <w:color w:val="000000" w:themeColor="text1"/>
          <w:sz w:val="32"/>
          <w:szCs w:val="32"/>
          <w:lang w:val="en-US" w:eastAsia="zh-CN"/>
          <w14:textFill>
            <w14:solidFill>
              <w14:schemeClr w14:val="tx1"/>
            </w14:solidFill>
          </w14:textFill>
        </w:rPr>
        <w:t>内蒙古</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自治区最大的籽类炒货集散地；河套向日葵是国家“地理标志认证”农产品，以籽粒饱满、色泽光亮、大小均匀著称，全国向日葵炒货高端产品原料60%以上来自巴彦淖尔，出口的产品有葵花籽、无壳南瓜籽、黑瓜籽，籽仁酥等，远销欧美等40多个国家地区，年均出口额占自治区60%以上。</w:t>
      </w:r>
    </w:p>
    <w:p>
      <w:pPr>
        <w:rPr>
          <w:rFonts w:hint="eastAsia"/>
          <w:color w:val="000000" w:themeColor="text1"/>
          <w:lang w:val="en-US" w:eastAsia="zh-CN"/>
          <w14:textFill>
            <w14:solidFill>
              <w14:schemeClr w14:val="tx1"/>
            </w14:solidFill>
          </w14:textFill>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1" w:firstLineChars="200"/>
        <w:jc w:val="left"/>
        <w:textAlignment w:val="auto"/>
        <w:outlineLvl w:val="0"/>
        <w:rPr>
          <w:rFonts w:hint="eastAsia" w:ascii="仿宋_GB2312" w:hAnsi="仿宋_GB2312" w:eastAsia="仿宋_GB2312" w:cs="仿宋_GB2312"/>
          <w:b/>
          <w:bCs/>
          <w:color w:val="000000" w:themeColor="text1"/>
          <w:sz w:val="32"/>
          <w:szCs w:val="32"/>
          <w:shd w:val="clear" w:color="auto" w:fill="FFFFFF"/>
          <w:lang w:val="en-US" w:eastAsia="zh-CN"/>
          <w14:textFill>
            <w14:solidFill>
              <w14:schemeClr w14:val="tx1"/>
            </w14:solidFill>
          </w14:textFill>
        </w:rPr>
      </w:pPr>
      <w:r>
        <w:rPr>
          <w:rFonts w:hint="eastAsia" w:ascii="仿宋_GB2312" w:hAnsi="仿宋_GB2312" w:eastAsia="仿宋_GB2312" w:cs="仿宋_GB2312"/>
          <w:b/>
          <w:bCs/>
          <w:color w:val="000000" w:themeColor="text1"/>
          <w:sz w:val="32"/>
          <w:szCs w:val="32"/>
          <w:shd w:val="clear" w:color="auto" w:fill="FFFFFF"/>
          <w:lang w:val="en-US" w:eastAsia="zh-CN"/>
          <w14:textFill>
            <w14:solidFill>
              <w14:schemeClr w14:val="tx1"/>
            </w14:solidFill>
          </w14:textFill>
        </w:rPr>
        <w:t>6.酿造加工——“一滴醇香”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匠心酿造，绵软柔和。</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一个地方，一季好粮，一瓶好酒，一生相伴。河套地区盛产小麦、高粱等优质农作物，是酿造河套美酒的上等原料。河套酒业集团是首批“天赋河套”农产品区域公用品牌授权企业之一。中国轻工业酿酒行业十强企业</w:t>
      </w:r>
      <w:r>
        <w:rPr>
          <w:rFonts w:hint="eastAsia" w:ascii="仿宋_GB2312" w:hAnsi="仿宋_GB2312" w:eastAsia="仿宋_GB2312" w:cs="仿宋_GB2312"/>
          <w:color w:val="000000" w:themeColor="text1"/>
          <w:sz w:val="32"/>
          <w:szCs w:val="32"/>
          <w:shd w:val="clear" w:color="auto" w:fill="FFFFFF"/>
          <w:lang w:eastAsia="zh-CN"/>
          <w14:textFill>
            <w14:solidFill>
              <w14:schemeClr w14:val="tx1"/>
            </w14:solidFill>
          </w14:textFill>
        </w:rPr>
        <w:t>，</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首批“中华老字号</w:t>
      </w:r>
      <w:r>
        <w:rPr>
          <w:rFonts w:hint="eastAsia" w:ascii="仿宋_GB2312" w:hAnsi="仿宋_GB2312" w:eastAsia="仿宋_GB2312" w:cs="仿宋_GB2312"/>
          <w:color w:val="000000" w:themeColor="text1"/>
          <w:sz w:val="32"/>
          <w:szCs w:val="32"/>
          <w:shd w:val="clear" w:color="auto" w:fill="FFFFFF"/>
          <w:lang w:eastAsia="zh-CN"/>
          <w14:textFill>
            <w14:solidFill>
              <w14:schemeClr w14:val="tx1"/>
            </w14:solidFill>
          </w14:textFill>
        </w:rPr>
        <w:t>”</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企业，“中国北方浓香型白酒生产基地”</w:t>
      </w:r>
      <w:r>
        <w:rPr>
          <w:rFonts w:hint="eastAsia" w:ascii="仿宋_GB2312" w:hAnsi="仿宋_GB2312" w:eastAsia="仿宋_GB2312" w:cs="仿宋_GB2312"/>
          <w:color w:val="000000" w:themeColor="text1"/>
          <w:sz w:val="32"/>
          <w:szCs w:val="32"/>
          <w:shd w:val="clear" w:color="auto" w:fill="FFFFFF"/>
          <w:lang w:eastAsia="zh-CN"/>
          <w14:textFill>
            <w14:solidFill>
              <w14:schemeClr w14:val="tx1"/>
            </w14:solidFill>
          </w14:textFill>
        </w:rPr>
        <w:t>；</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河</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套</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番茄是国家“地理标志认证”农产品</w:t>
      </w:r>
      <w:r>
        <w:rPr>
          <w:rFonts w:hint="eastAsia" w:ascii="仿宋_GB2312" w:hAnsi="仿宋_GB2312" w:eastAsia="仿宋_GB2312" w:cs="仿宋_GB2312"/>
          <w:color w:val="000000" w:themeColor="text1"/>
          <w:sz w:val="32"/>
          <w:szCs w:val="32"/>
          <w:shd w:val="clear" w:color="auto" w:fill="FFFFFF"/>
          <w:lang w:eastAsia="zh-CN"/>
          <w14:textFill>
            <w14:solidFill>
              <w14:schemeClr w14:val="tx1"/>
            </w14:solidFill>
          </w14:textFill>
        </w:rPr>
        <w:t>，</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巴彦淖尔是全国第二大番茄生产加工基地</w:t>
      </w:r>
      <w:r>
        <w:rPr>
          <w:rFonts w:hint="eastAsia" w:ascii="仿宋_GB2312" w:hAnsi="仿宋_GB2312" w:eastAsia="仿宋_GB2312" w:cs="仿宋_GB2312"/>
          <w:color w:val="000000" w:themeColor="text1"/>
          <w:sz w:val="32"/>
          <w:szCs w:val="32"/>
          <w:shd w:val="clear" w:color="auto" w:fill="FFFFFF"/>
          <w:lang w:eastAsia="zh-CN"/>
          <w14:textFill>
            <w14:solidFill>
              <w14:schemeClr w14:val="tx1"/>
            </w14:solidFill>
          </w14:textFill>
        </w:rPr>
        <w:t>，</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是商务部认定的国家级番茄外贸转</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型</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升级示范基地，每出口10桶番茄汁就有6桶来自巴彦淖尔，产品85%以上出口欧美州、东南亚等国家。</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1" w:firstLineChars="200"/>
        <w:jc w:val="left"/>
        <w:textAlignment w:val="auto"/>
        <w:outlineLvl w:val="0"/>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1" w:firstLineChars="200"/>
        <w:jc w:val="left"/>
        <w:textAlignment w:val="auto"/>
        <w:outlineLvl w:val="0"/>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7.民族特色——“一峰之骄”</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pPr>
      <w:r>
        <w:rPr>
          <w:rFonts w:hint="eastAsia" w:ascii="仿宋_GB2312" w:hAnsi="仿宋_GB2312" w:eastAsia="仿宋_GB2312" w:cs="仿宋_GB2312"/>
          <w:i w:val="0"/>
          <w:caps w:val="0"/>
          <w:color w:val="000000" w:themeColor="text1"/>
          <w:spacing w:val="0"/>
          <w:sz w:val="32"/>
          <w:szCs w:val="32"/>
          <w:shd w:val="clear" w:fill="FFFFFF"/>
          <w:lang w:val="en-US" w:eastAsia="zh-CN"/>
          <w14:textFill>
            <w14:solidFill>
              <w14:schemeClr w14:val="tx1"/>
            </w14:solidFill>
          </w14:textFill>
        </w:rPr>
        <w:t>戈</w:t>
      </w: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壁红驼是国家“地理标志认证”畜产品，国家二级保护畜种，素有“草原珍珠”之美称。乌拉特后旗被誉为“中国戈壁红驼之乡”，年均存栏</w:t>
      </w:r>
      <w:r>
        <w:rPr>
          <w:rFonts w:hint="eastAsia" w:ascii="仿宋_GB2312" w:hAnsi="仿宋_GB2312" w:eastAsia="仿宋_GB2312" w:cs="仿宋_GB2312"/>
          <w:i w:val="0"/>
          <w:caps w:val="0"/>
          <w:color w:val="000000" w:themeColor="text1"/>
          <w:spacing w:val="0"/>
          <w:sz w:val="32"/>
          <w:szCs w:val="32"/>
          <w:shd w:val="clear" w:fill="FFFFFF"/>
          <w:lang w:val="en-US" w:eastAsia="zh-CN"/>
          <w14:textFill>
            <w14:solidFill>
              <w14:schemeClr w14:val="tx1"/>
            </w14:solidFill>
          </w14:textFill>
        </w:rPr>
        <w:t>红驼</w:t>
      </w: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3.5万峰，2008年蒙古族养驼习俗经国务院批准列入第二批国家级非物质文化</w:t>
      </w:r>
      <w:r>
        <w:rPr>
          <w:rFonts w:hint="eastAsia" w:ascii="仿宋_GB2312" w:hAnsi="仿宋_GB2312" w:eastAsia="仿宋_GB2312" w:cs="仿宋_GB2312"/>
          <w:i w:val="0"/>
          <w:caps w:val="0"/>
          <w:color w:val="000000" w:themeColor="text1"/>
          <w:spacing w:val="0"/>
          <w:sz w:val="32"/>
          <w:szCs w:val="32"/>
          <w:shd w:val="clear" w:fill="FFFFFF"/>
          <w:lang w:val="en-US" w:eastAsia="zh-CN"/>
          <w14:textFill>
            <w14:solidFill>
              <w14:schemeClr w14:val="tx1"/>
            </w14:solidFill>
          </w14:textFill>
        </w:rPr>
        <w:t>遗</w:t>
      </w: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产名录</w:t>
      </w:r>
      <w:r>
        <w:rPr>
          <w:rFonts w:hint="eastAsia" w:ascii="仿宋_GB2312" w:hAnsi="仿宋_GB2312" w:eastAsia="仿宋_GB2312" w:cs="仿宋_GB2312"/>
          <w:i w:val="0"/>
          <w:caps w:val="0"/>
          <w:color w:val="000000" w:themeColor="text1"/>
          <w:spacing w:val="0"/>
          <w:sz w:val="32"/>
          <w:szCs w:val="32"/>
          <w:shd w:val="clear" w:fill="FFFFFF"/>
          <w:lang w:eastAsia="zh-CN"/>
          <w14:textFill>
            <w14:solidFill>
              <w14:schemeClr w14:val="tx1"/>
            </w14:solidFill>
          </w14:textFill>
        </w:rPr>
        <w:t>；</w:t>
      </w: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乌拉特后旗正在建设10万峰戈</w:t>
      </w:r>
      <w:r>
        <w:rPr>
          <w:rFonts w:hint="eastAsia" w:ascii="仿宋_GB2312" w:hAnsi="仿宋_GB2312" w:eastAsia="仿宋_GB2312" w:cs="仿宋_GB2312"/>
          <w:i w:val="0"/>
          <w:caps w:val="0"/>
          <w:color w:val="000000" w:themeColor="text1"/>
          <w:spacing w:val="0"/>
          <w:sz w:val="32"/>
          <w:szCs w:val="32"/>
          <w:shd w:val="clear" w:fill="FFFFFF"/>
          <w:lang w:val="en-US" w:eastAsia="zh-CN"/>
          <w14:textFill>
            <w14:solidFill>
              <w14:schemeClr w14:val="tx1"/>
            </w14:solidFill>
          </w14:textFill>
        </w:rPr>
        <w:t>壁</w:t>
      </w: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红驼养殖基地、驼文化博物馆、驼乳加工厂、世界</w:t>
      </w:r>
      <w:r>
        <w:rPr>
          <w:rFonts w:hint="eastAsia" w:ascii="仿宋_GB2312" w:hAnsi="仿宋_GB2312" w:eastAsia="仿宋_GB2312" w:cs="仿宋_GB2312"/>
          <w:i w:val="0"/>
          <w:caps w:val="0"/>
          <w:color w:val="000000" w:themeColor="text1"/>
          <w:spacing w:val="0"/>
          <w:sz w:val="32"/>
          <w:szCs w:val="32"/>
          <w:shd w:val="clear" w:fill="FFFFFF"/>
          <w:lang w:val="en-US" w:eastAsia="zh-CN"/>
          <w14:textFill>
            <w14:solidFill>
              <w14:schemeClr w14:val="tx1"/>
            </w14:solidFill>
          </w14:textFill>
        </w:rPr>
        <w:t>骆驼</w:t>
      </w: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研究院，力争建成世界一流的戈壁红驼产业基地，</w:t>
      </w:r>
      <w:r>
        <w:rPr>
          <w:rFonts w:hint="eastAsia" w:ascii="仿宋_GB2312" w:hAnsi="仿宋_GB2312" w:eastAsia="仿宋_GB2312" w:cs="仿宋_GB2312"/>
          <w:i w:val="0"/>
          <w:caps w:val="0"/>
          <w:color w:val="000000" w:themeColor="text1"/>
          <w:spacing w:val="0"/>
          <w:sz w:val="32"/>
          <w:szCs w:val="32"/>
          <w:shd w:val="clear" w:fill="FFFFFF"/>
          <w:lang w:val="en-US" w:eastAsia="zh-CN"/>
          <w14:textFill>
            <w14:solidFill>
              <w14:schemeClr w14:val="tx1"/>
            </w14:solidFill>
          </w14:textFill>
        </w:rPr>
        <w:t>逐步</w:t>
      </w: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打造“世界驼都”</w:t>
      </w:r>
      <w:r>
        <w:rPr>
          <w:rFonts w:hint="eastAsia" w:ascii="仿宋_GB2312" w:hAnsi="仿宋_GB2312" w:eastAsia="仿宋_GB2312" w:cs="仿宋_GB2312"/>
          <w:i w:val="0"/>
          <w:caps w:val="0"/>
          <w:color w:val="000000" w:themeColor="text1"/>
          <w:spacing w:val="0"/>
          <w:sz w:val="32"/>
          <w:szCs w:val="32"/>
          <w:shd w:val="clear" w:fill="FFFFFF"/>
          <w:lang w:eastAsia="zh-CN"/>
          <w14:textFill>
            <w14:solidFill>
              <w14:schemeClr w14:val="tx1"/>
            </w14:solidFill>
          </w14:textFill>
        </w:rPr>
        <w:t>。</w:t>
      </w: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乌拉特中旗拥有天然草原3200万亩，年存栏蒙古马4</w:t>
      </w:r>
      <w:r>
        <w:rPr>
          <w:rFonts w:hint="eastAsia" w:ascii="仿宋_GB2312" w:hAnsi="仿宋_GB2312" w:eastAsia="仿宋_GB2312" w:cs="仿宋_GB2312"/>
          <w:i w:val="0"/>
          <w:caps w:val="0"/>
          <w:color w:val="000000" w:themeColor="text1"/>
          <w:spacing w:val="0"/>
          <w:sz w:val="32"/>
          <w:szCs w:val="32"/>
          <w:shd w:val="clear" w:fill="FFFFFF"/>
          <w:lang w:val="en-US" w:eastAsia="zh-CN"/>
          <w14:textFill>
            <w14:solidFill>
              <w14:schemeClr w14:val="tx1"/>
            </w14:solidFill>
          </w14:textFill>
        </w:rPr>
        <w:t>.5</w:t>
      </w: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万匹</w:t>
      </w:r>
      <w:r>
        <w:rPr>
          <w:rFonts w:hint="eastAsia" w:ascii="仿宋_GB2312" w:hAnsi="仿宋_GB2312" w:eastAsia="仿宋_GB2312" w:cs="仿宋_GB2312"/>
          <w:i w:val="0"/>
          <w:caps w:val="0"/>
          <w:color w:val="000000" w:themeColor="text1"/>
          <w:spacing w:val="0"/>
          <w:sz w:val="32"/>
          <w:szCs w:val="32"/>
          <w:shd w:val="clear" w:fill="FFFFFF"/>
          <w:lang w:eastAsia="zh-CN"/>
          <w14:textFill>
            <w14:solidFill>
              <w14:schemeClr w14:val="tx1"/>
            </w14:solidFill>
          </w14:textFill>
        </w:rPr>
        <w:t>。</w:t>
      </w: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近年来通过实施“以草定畜、退牧还草”生态工程，各项大型主题活动、马文化景区、特色旅游产业等得到了蓬勃发展，成为了牧民增收致富的新</w:t>
      </w:r>
      <w:r>
        <w:rPr>
          <w:rFonts w:hint="eastAsia" w:ascii="仿宋_GB2312" w:hAnsi="仿宋_GB2312" w:eastAsia="仿宋_GB2312" w:cs="仿宋_GB2312"/>
          <w:i w:val="0"/>
          <w:caps w:val="0"/>
          <w:color w:val="000000" w:themeColor="text1"/>
          <w:spacing w:val="0"/>
          <w:sz w:val="32"/>
          <w:szCs w:val="32"/>
          <w:shd w:val="clear" w:fill="FFFFFF"/>
          <w:lang w:val="en-US" w:eastAsia="zh-CN"/>
          <w14:textFill>
            <w14:solidFill>
              <w14:schemeClr w14:val="tx1"/>
            </w14:solidFill>
          </w14:textFill>
        </w:rPr>
        <w:t>引擎</w:t>
      </w: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w:t>
      </w:r>
    </w:p>
    <w:p>
      <w:pPr>
        <w:numPr>
          <w:ilvl w:val="0"/>
          <w:numId w:val="0"/>
        </w:numPr>
        <w:rPr>
          <w:rFonts w:hint="default"/>
          <w:color w:val="000000" w:themeColor="text1"/>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ind w:firstLine="641" w:firstLineChars="200"/>
        <w:textAlignment w:val="auto"/>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bCs/>
          <w:color w:val="000000" w:themeColor="text1"/>
          <w:sz w:val="32"/>
          <w:szCs w:val="32"/>
          <w14:textFill>
            <w14:solidFill>
              <w14:schemeClr w14:val="tx1"/>
            </w14:solidFill>
          </w14:textFill>
        </w:rPr>
        <w:t>“天赋河套”</w:t>
      </w: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品牌建设体系</w:t>
      </w:r>
    </w:p>
    <w:p>
      <w:pPr>
        <w:pStyle w:val="2"/>
        <w:ind w:firstLine="640" w:firstLineChars="200"/>
        <w:rPr>
          <w:rFonts w:hint="eastAsia"/>
          <w:color w:val="000000" w:themeColor="text1"/>
          <w14:textFill>
            <w14:solidFill>
              <w14:schemeClr w14:val="tx1"/>
            </w14:solidFill>
          </w14:textFill>
        </w:rPr>
      </w:pPr>
      <w:r>
        <w:rPr>
          <w:rFonts w:hint="eastAsia" w:eastAsia="仿宋_GB2312"/>
          <w:color w:val="000000" w:themeColor="text1"/>
          <w:sz w:val="32"/>
          <w:szCs w:val="32"/>
          <w14:textFill>
            <w14:solidFill>
              <w14:schemeClr w14:val="tx1"/>
            </w14:solidFill>
          </w14:textFill>
        </w:rPr>
        <w:t>我们</w:t>
      </w:r>
      <w:r>
        <w:rPr>
          <w:rFonts w:hint="eastAsia" w:ascii="仿宋_GB2312" w:hAnsi="仿宋_GB2312" w:eastAsia="仿宋_GB2312" w:cs="仿宋_GB2312"/>
          <w:color w:val="000000" w:themeColor="text1"/>
          <w:sz w:val="32"/>
          <w:szCs w:val="32"/>
          <w14:textFill>
            <w14:solidFill>
              <w14:schemeClr w14:val="tx1"/>
            </w14:solidFill>
          </w14:textFill>
        </w:rPr>
        <w:t>计划</w:t>
      </w:r>
      <w:r>
        <w:rPr>
          <w:rFonts w:hint="eastAsia" w:eastAsia="仿宋_GB2312"/>
          <w:color w:val="000000" w:themeColor="text1"/>
          <w:sz w:val="32"/>
          <w:szCs w:val="32"/>
          <w14:textFill>
            <w14:solidFill>
              <w14:schemeClr w14:val="tx1"/>
            </w14:solidFill>
          </w14:textFill>
        </w:rPr>
        <w:t>构建全产业供应链输出、全过程标准化</w:t>
      </w:r>
      <w:r>
        <w:rPr>
          <w:rFonts w:hint="eastAsia" w:eastAsia="仿宋_GB2312"/>
          <w:color w:val="000000" w:themeColor="text1"/>
          <w:sz w:val="32"/>
          <w:szCs w:val="32"/>
          <w:lang w:eastAsia="zh-CN"/>
          <w14:textFill>
            <w14:solidFill>
              <w14:schemeClr w14:val="tx1"/>
            </w14:solidFill>
          </w14:textFill>
        </w:rPr>
        <w:t>追溯</w:t>
      </w:r>
      <w:r>
        <w:rPr>
          <w:rFonts w:hint="eastAsia" w:eastAsia="仿宋_GB2312"/>
          <w:color w:val="000000" w:themeColor="text1"/>
          <w:sz w:val="32"/>
          <w:szCs w:val="32"/>
          <w14:textFill>
            <w14:solidFill>
              <w14:schemeClr w14:val="tx1"/>
            </w14:solidFill>
          </w14:textFill>
        </w:rPr>
        <w:t>、全区域品牌化运营、全覆盖互联网商务、全方位云仓储物流、全品类市场化营销、全领域大数据共享“七大”体系，全力打造“天赋河套”农产品区域公用品牌发展新引擎，全面推进农业供给侧结构性改革，实现塞上江南</w:t>
      </w:r>
      <w:r>
        <w:rPr>
          <w:rFonts w:hint="eastAsia" w:eastAsia="仿宋_GB2312"/>
          <w:color w:val="000000" w:themeColor="text1"/>
          <w:sz w:val="32"/>
          <w:szCs w:val="32"/>
          <w:lang w:eastAsia="zh-CN"/>
          <w14:textFill>
            <w14:solidFill>
              <w14:schemeClr w14:val="tx1"/>
            </w14:solidFill>
          </w14:textFill>
        </w:rPr>
        <w:t>、</w:t>
      </w:r>
      <w:r>
        <w:rPr>
          <w:rFonts w:hint="eastAsia" w:eastAsia="仿宋_GB2312"/>
          <w:color w:val="000000" w:themeColor="text1"/>
          <w:sz w:val="32"/>
          <w:szCs w:val="32"/>
          <w14:textFill>
            <w14:solidFill>
              <w14:schemeClr w14:val="tx1"/>
            </w14:solidFill>
          </w14:textFill>
        </w:rPr>
        <w:t>绿色崛起。</w:t>
      </w:r>
    </w:p>
    <w:p>
      <w:pPr>
        <w:pStyle w:val="2"/>
        <w:ind w:firstLine="640" w:firstLineChars="200"/>
        <w:rPr>
          <w:rFonts w:hint="default" w:ascii="仿宋_GB2312" w:hAnsi="仿宋_GB2312" w:eastAsia="仿宋_GB2312" w:cs="仿宋_GB2312"/>
          <w:color w:val="000000" w:themeColor="text1"/>
          <w:sz w:val="32"/>
          <w:szCs w:val="32"/>
          <w:lang w:val="en-US" w:eastAsia="zh-CN"/>
          <w14:textFill>
            <w14:solidFill>
              <w14:schemeClr w14:val="tx1"/>
            </w14:solidFill>
          </w14:textFill>
        </w:rPr>
      </w:pPr>
      <w:r>
        <w:rPr>
          <w:rFonts w:hint="default" w:ascii="仿宋_GB2312" w:hAnsi="仿宋_GB2312" w:eastAsia="仿宋_GB2312" w:cs="仿宋_GB2312"/>
          <w:color w:val="000000" w:themeColor="text1"/>
          <w:sz w:val="32"/>
          <w:szCs w:val="32"/>
          <w:lang w:val="en-US" w:eastAsia="zh-CN"/>
          <w14:textFill>
            <w14:solidFill>
              <w14:schemeClr w14:val="tx1"/>
            </w14:solidFill>
          </w14:textFill>
        </w:rPr>
        <w:t>全方位搭建了肉羊交易、跨境电商、微商运营三大平台，开发应用了智慧物流管理系统，实现了与天猫、京东等电商平台的信息化对接，有效推进线上、线下销售、物流、配送等流通体系建设。</w:t>
      </w:r>
    </w:p>
    <w:p>
      <w:pPr>
        <w:pStyle w:val="2"/>
        <w:ind w:firstLine="640" w:firstLineChars="200"/>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全方位、多角度、深层次扩大“天赋河套”品牌运营的朋友圈，借力横纵覆盖的融媒体，打通四季供应的直销网，建成不同需求的旗舰店，让巴彦淖尔优质农产成为献给世界的最好礼物。</w:t>
      </w:r>
    </w:p>
    <w:p>
      <w:pPr>
        <w:rPr>
          <w:rFonts w:hint="default"/>
          <w:lang w:val="en-US" w:eastAsia="zh-CN"/>
        </w:rPr>
      </w:pPr>
    </w:p>
    <w:p>
      <w:pPr>
        <w:pStyle w:val="2"/>
        <w:ind w:firstLine="641" w:firstLineChars="200"/>
        <w:rPr>
          <w:rFonts w:hint="default" w:ascii="仿宋_GB2312" w:hAnsi="仿宋_GB2312" w:eastAsia="仿宋_GB2312" w:cs="仿宋_GB2312"/>
          <w:b/>
          <w:bCs/>
          <w:color w:val="000000" w:themeColor="text1"/>
          <w:sz w:val="32"/>
          <w:szCs w:val="32"/>
          <w:lang w:val="en-US" w:eastAsia="zh-CN"/>
          <w14:textFill>
            <w14:solidFill>
              <w14:schemeClr w14:val="tx1"/>
            </w14:solidFill>
          </w14:textFill>
        </w:rPr>
      </w:pPr>
      <w:r>
        <w:rPr>
          <w:rFonts w:hint="default" w:ascii="仿宋_GB2312" w:hAnsi="仿宋_GB2312" w:eastAsia="仿宋_GB2312" w:cs="仿宋_GB2312"/>
          <w:b/>
          <w:bCs/>
          <w:color w:val="000000" w:themeColor="text1"/>
          <w:sz w:val="32"/>
          <w:szCs w:val="32"/>
          <w:lang w:val="en-US" w:eastAsia="zh-CN"/>
          <w14:textFill>
            <w14:solidFill>
              <w14:schemeClr w14:val="tx1"/>
            </w14:solidFill>
          </w14:textFill>
        </w:rPr>
        <w:t>“天赋河套”品牌发展愿景</w:t>
      </w:r>
    </w:p>
    <w:p>
      <w:pPr>
        <w:pStyle w:val="2"/>
        <w:ind w:firstLine="640" w:firstLineChars="200"/>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融合发展（产业、产品、品牌）。</w:t>
      </w:r>
    </w:p>
    <w:p>
      <w:pPr>
        <w:pStyle w:val="7"/>
        <w:spacing w:line="560" w:lineRule="exact"/>
        <w:ind w:firstLine="640" w:firstLineChars="200"/>
        <w:jc w:val="both"/>
        <w:rPr>
          <w:rFonts w:hint="default"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eastAsia="仿宋_GB2312"/>
          <w:bCs/>
          <w:strike w:val="0"/>
          <w:dstrike w:val="0"/>
          <w:color w:val="000000" w:themeColor="text1"/>
          <w:kern w:val="2"/>
          <w:sz w:val="32"/>
          <w:szCs w:val="32"/>
          <w:lang w:eastAsia="zh-CN"/>
          <w14:textFill>
            <w14:solidFill>
              <w14:schemeClr w14:val="tx1"/>
            </w14:solidFill>
          </w14:textFill>
        </w:rPr>
        <w:t>打造山水林田湖草沙生命共同体，建设草原上的菜篮子、黄河边上的农艺园，</w:t>
      </w:r>
      <w:r>
        <w:rPr>
          <w:rFonts w:hint="eastAsia" w:eastAsia="仿宋_GB2312"/>
          <w:bCs/>
          <w:strike w:val="0"/>
          <w:dstrike w:val="0"/>
          <w:color w:val="000000" w:themeColor="text1"/>
          <w:kern w:val="2"/>
          <w:sz w:val="32"/>
          <w:szCs w:val="32"/>
          <w:lang w:val="en-US" w:eastAsia="zh-CN"/>
          <w14:textFill>
            <w14:solidFill>
              <w14:schemeClr w14:val="tx1"/>
            </w14:solidFill>
          </w14:textFill>
        </w:rPr>
        <w:t>全力打造河套全域</w:t>
      </w:r>
      <w:r>
        <w:rPr>
          <w:rFonts w:hint="eastAsia" w:eastAsia="仿宋_GB2312"/>
          <w:bCs/>
          <w:strike w:val="0"/>
          <w:dstrike w:val="0"/>
          <w:color w:val="000000" w:themeColor="text1"/>
          <w:kern w:val="2"/>
          <w:sz w:val="32"/>
          <w:szCs w:val="32"/>
          <w:lang w:eastAsia="zh-CN"/>
          <w14:textFill>
            <w14:solidFill>
              <w14:schemeClr w14:val="tx1"/>
            </w14:solidFill>
          </w14:textFill>
        </w:rPr>
        <w:t>绿色有机高端农畜产品生产加工输出基地，</w:t>
      </w:r>
      <w:r>
        <w:rPr>
          <w:rFonts w:hint="default" w:ascii="仿宋_GB2312" w:hAnsi="仿宋_GB2312" w:eastAsia="仿宋_GB2312" w:cs="仿宋_GB2312"/>
          <w:color w:val="000000" w:themeColor="text1"/>
          <w:sz w:val="32"/>
          <w:szCs w:val="32"/>
          <w:lang w:val="en-US" w:eastAsia="zh-CN"/>
          <w14:textFill>
            <w14:solidFill>
              <w14:schemeClr w14:val="tx1"/>
            </w14:solidFill>
          </w14:textFill>
        </w:rPr>
        <w:t>让巴彦淖尔成为绿色产业的集聚区，生态文明的示范区，乡村振兴的样板区，对蒙开放的先行区，美好生活的共享区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w:t>
      </w:r>
      <w:r>
        <w:rPr>
          <w:rFonts w:hint="default" w:ascii="仿宋_GB2312" w:hAnsi="仿宋_GB2312" w:eastAsia="仿宋_GB2312" w:cs="仿宋_GB2312"/>
          <w:color w:val="000000" w:themeColor="text1"/>
          <w:sz w:val="32"/>
          <w:szCs w:val="32"/>
          <w:lang w:val="en-US" w:eastAsia="zh-CN"/>
          <w14:textFill>
            <w14:solidFill>
              <w14:schemeClr w14:val="tx1"/>
            </w14:solidFill>
          </w14:textFill>
        </w:rPr>
        <w:t>一个现代化的生态田园城市将在祖国北方屹然崛起。</w:t>
      </w:r>
    </w:p>
    <w:p>
      <w:pPr>
        <w:pStyle w:val="2"/>
        <w:ind w:firstLine="640" w:firstLineChars="200"/>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p>
    <w:p>
      <w:pPr>
        <w:pStyle w:val="2"/>
        <w:ind w:firstLine="640" w:firstLineChars="200"/>
        <w:rPr>
          <w:rFonts w:hint="default" w:ascii="仿宋_GB2312" w:hAnsi="仿宋_GB2312" w:eastAsia="仿宋_GB2312" w:cs="仿宋_GB2312"/>
          <w:color w:val="000000" w:themeColor="text1"/>
          <w:sz w:val="32"/>
          <w:szCs w:val="32"/>
          <w:lang w:val="en-US" w:eastAsia="zh-CN"/>
          <w14:textFill>
            <w14:solidFill>
              <w14:schemeClr w14:val="tx1"/>
            </w14:solidFill>
          </w14:textFill>
        </w:rPr>
      </w:pPr>
      <w:r>
        <w:rPr>
          <w:rFonts w:hint="default" w:ascii="仿宋_GB2312" w:hAnsi="仿宋_GB2312" w:eastAsia="仿宋_GB2312" w:cs="仿宋_GB2312"/>
          <w:color w:val="000000" w:themeColor="text1"/>
          <w:sz w:val="32"/>
          <w:szCs w:val="32"/>
          <w:lang w:val="en-US" w:eastAsia="zh-CN"/>
          <w14:textFill>
            <w14:solidFill>
              <w14:schemeClr w14:val="tx1"/>
            </w14:solidFill>
          </w14:textFill>
        </w:rPr>
        <w:t>内蒙古巴彦绿业实业有限公司</w:t>
      </w:r>
    </w:p>
    <w:p>
      <w:pPr>
        <w:pStyle w:val="2"/>
        <w:ind w:firstLine="640" w:firstLineChars="200"/>
        <w:rPr>
          <w:rFonts w:ascii="仿宋_GB2312" w:hAnsi="仿宋_GB2312" w:eastAsia="仿宋_GB2312" w:cs="仿宋_GB2312"/>
          <w:color w:val="000000" w:themeColor="text1"/>
          <w:sz w:val="32"/>
          <w:szCs w:val="32"/>
          <w14:textFill>
            <w14:solidFill>
              <w14:schemeClr w14:val="tx1"/>
            </w14:solidFill>
          </w14:textFill>
        </w:rPr>
      </w:pPr>
      <w:r>
        <w:rPr>
          <w:rFonts w:hint="default" w:ascii="仿宋_GB2312" w:hAnsi="仿宋_GB2312" w:eastAsia="仿宋_GB2312" w:cs="仿宋_GB2312"/>
          <w:color w:val="000000" w:themeColor="text1"/>
          <w:sz w:val="32"/>
          <w:szCs w:val="32"/>
          <w:lang w:val="en-US" w:eastAsia="zh-CN"/>
          <w14:textFill>
            <w14:solidFill>
              <w14:schemeClr w14:val="tx1"/>
            </w14:solidFill>
          </w14:textFill>
        </w:rPr>
        <w:t>巴彦绿业官网：</w:t>
      </w:r>
      <w:r>
        <w:rPr>
          <w:rFonts w:hint="default" w:ascii="仿宋_GB2312" w:hAnsi="仿宋_GB2312" w:eastAsia="仿宋_GB2312" w:cs="仿宋_GB2312"/>
          <w:color w:val="000000" w:themeColor="text1"/>
          <w:sz w:val="32"/>
          <w:szCs w:val="32"/>
          <w:lang w:val="en-US" w:eastAsia="zh-CN"/>
          <w14:textFill>
            <w14:solidFill>
              <w14:schemeClr w14:val="tx1"/>
            </w14:solidFill>
          </w14:textFill>
        </w:rPr>
        <w:fldChar w:fldCharType="begin"/>
      </w:r>
      <w:r>
        <w:rPr>
          <w:rFonts w:hint="default" w:ascii="仿宋_GB2312" w:hAnsi="仿宋_GB2312" w:eastAsia="仿宋_GB2312" w:cs="仿宋_GB2312"/>
          <w:color w:val="000000" w:themeColor="text1"/>
          <w:sz w:val="32"/>
          <w:szCs w:val="32"/>
          <w:lang w:val="en-US" w:eastAsia="zh-CN"/>
          <w14:textFill>
            <w14:solidFill>
              <w14:schemeClr w14:val="tx1"/>
            </w14:solidFill>
          </w14:textFill>
        </w:rPr>
        <w:instrText xml:space="preserve"> HYPERLINK "http://www.nmgbyly.com" </w:instrText>
      </w:r>
      <w:r>
        <w:rPr>
          <w:rFonts w:hint="default" w:ascii="仿宋_GB2312" w:hAnsi="仿宋_GB2312" w:eastAsia="仿宋_GB2312" w:cs="仿宋_GB2312"/>
          <w:color w:val="000000" w:themeColor="text1"/>
          <w:sz w:val="32"/>
          <w:szCs w:val="32"/>
          <w:lang w:val="en-US" w:eastAsia="zh-CN"/>
          <w14:textFill>
            <w14:solidFill>
              <w14:schemeClr w14:val="tx1"/>
            </w14:solidFill>
          </w14:textFill>
        </w:rPr>
        <w:fldChar w:fldCharType="separate"/>
      </w:r>
      <w:r>
        <w:rPr>
          <w:rFonts w:hint="default" w:ascii="仿宋_GB2312" w:hAnsi="仿宋_GB2312" w:eastAsia="仿宋_GB2312" w:cs="仿宋_GB2312"/>
          <w:color w:val="000000" w:themeColor="text1"/>
          <w:sz w:val="32"/>
          <w:szCs w:val="32"/>
          <w:lang w:val="en-US" w:eastAsia="zh-CN"/>
          <w14:textFill>
            <w14:solidFill>
              <w14:schemeClr w14:val="tx1"/>
            </w14:solidFill>
          </w14:textFill>
        </w:rPr>
        <w:t>www.nmgbyly.com</w:t>
      </w:r>
      <w:r>
        <w:rPr>
          <w:rFonts w:hint="default" w:ascii="仿宋_GB2312" w:hAnsi="仿宋_GB2312" w:eastAsia="仿宋_GB2312" w:cs="仿宋_GB2312"/>
          <w:color w:val="000000" w:themeColor="text1"/>
          <w:sz w:val="32"/>
          <w:szCs w:val="32"/>
          <w:lang w:val="en-US" w:eastAsia="zh-CN"/>
          <w14:textFill>
            <w14:solidFill>
              <w14:schemeClr w14:val="tx1"/>
            </w14:solidFill>
          </w14:textFill>
        </w:rPr>
        <w:fldChar w:fldCharType="end"/>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703060505090304"/>
    <w:charset w:val="01"/>
    <w:family w:val="auto"/>
    <w:pitch w:val="default"/>
    <w:sig w:usb0="E0000AFF" w:usb1="00007843" w:usb2="00000001" w:usb3="00000000" w:csb0="400001BF" w:csb1="DFF70000"/>
  </w:font>
  <w:font w:name="宋体">
    <w:altName w:val="汉仪书宋二KW"/>
    <w:panose1 w:val="02010600030101010101"/>
    <w:charset w:val="7A"/>
    <w:family w:val="auto"/>
    <w:pitch w:val="default"/>
    <w:sig w:usb0="00000000" w:usb1="00000000" w:usb2="00000006" w:usb3="00000000" w:csb0="00040001" w:csb1="00000000"/>
  </w:font>
  <w:font w:name="DejaVu Sans">
    <w:altName w:val="苹方-简"/>
    <w:panose1 w:val="02020603050405020304"/>
    <w:charset w:val="00"/>
    <w:family w:val="roman"/>
    <w:pitch w:val="default"/>
    <w:sig w:usb0="20007A87" w:usb1="80000000" w:usb2="00000008" w:usb3="00000000" w:csb0="000001FF" w:csb1="00000000"/>
  </w:font>
  <w:font w:name="方正书宋_GBK">
    <w:altName w:val="汉仪书宋二KW"/>
    <w:panose1 w:val="02000000000000000000"/>
    <w:charset w:val="86"/>
    <w:family w:val="auto"/>
    <w:pitch w:val="default"/>
    <w:sig w:usb0="00000001" w:usb1="08000000" w:usb2="00000000" w:usb3="00000000" w:csb0="00040000"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00000000" w:usb1="00000000"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方正小标宋简体">
    <w:altName w:val="汉仪书宋二KW"/>
    <w:panose1 w:val="02010601030101010101"/>
    <w:charset w:val="86"/>
    <w:family w:val="auto"/>
    <w:pitch w:val="default"/>
    <w:sig w:usb0="00000000" w:usb1="00000000" w:usb2="00000000" w:usb3="00000000" w:csb0="00040000" w:csb1="00000000"/>
  </w:font>
  <w:font w:name="仿宋_GB2312">
    <w:altName w:val="汉仪仿宋KW"/>
    <w:panose1 w:val="02010609030101010101"/>
    <w:charset w:val="86"/>
    <w:family w:val="auto"/>
    <w:pitch w:val="default"/>
    <w:sig w:usb0="00000000" w:usb1="00000000" w:usb2="00000000" w:usb3="00000000" w:csb0="00040000" w:csb1="00000000"/>
  </w:font>
  <w:font w:name="楷体_GB2312">
    <w:altName w:val="汉仪楷体KW"/>
    <w:panose1 w:val="02010609030101010101"/>
    <w:charset w:val="86"/>
    <w:family w:val="auto"/>
    <w:pitch w:val="default"/>
    <w:sig w:usb0="00000000" w:usb1="00000000" w:usb2="00000000" w:usb3="00000000" w:csb0="00040000" w:csb1="00000000"/>
  </w:font>
  <w:font w:name="仿宋">
    <w:altName w:val="汉仪仿宋KW"/>
    <w:panose1 w:val="02010609060101010101"/>
    <w:charset w:val="86"/>
    <w:family w:val="auto"/>
    <w:pitch w:val="default"/>
    <w:sig w:usb0="00000000" w:usb1="00000000" w:usb2="00000016" w:usb3="00000000" w:csb0="00040001" w:csb1="00000000"/>
  </w:font>
  <w:font w:name="楷体">
    <w:altName w:val="汉仪楷体KW"/>
    <w:panose1 w:val="02010609060101010101"/>
    <w:charset w:val="86"/>
    <w:family w:val="auto"/>
    <w:pitch w:val="default"/>
    <w:sig w:usb0="00000000" w:usb1="00000000" w:usb2="00000016" w:usb3="00000000" w:csb0="00040001" w:csb1="00000000"/>
  </w:font>
  <w:font w:name="汉仪仿宋KW">
    <w:panose1 w:val="00020600040101010101"/>
    <w:charset w:val="86"/>
    <w:family w:val="auto"/>
    <w:pitch w:val="default"/>
    <w:sig w:usb0="A00002BF" w:usb1="18EF7CFA" w:usb2="00000016" w:usb3="00000000" w:csb0="00040000" w:csb1="00000000"/>
  </w:font>
  <w:font w:name="汉仪书宋二KW">
    <w:panose1 w:val="00020600040101010101"/>
    <w:charset w:val="7A"/>
    <w:family w:val="auto"/>
    <w:pitch w:val="default"/>
    <w:sig w:usb0="A00002BF" w:usb1="18EF7CFA" w:usb2="00000016" w:usb3="00000000" w:csb0="00040000" w:csb1="00000000"/>
  </w:font>
  <w:font w:name="汉仪楷体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仿宋_GB2312">
    <w:altName w:val="汉仪仿宋KW"/>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E2258B"/>
    <w:rsid w:val="001031E2"/>
    <w:rsid w:val="003565F9"/>
    <w:rsid w:val="007D7C42"/>
    <w:rsid w:val="00A2438B"/>
    <w:rsid w:val="046874DC"/>
    <w:rsid w:val="048E3AB7"/>
    <w:rsid w:val="0B130ECC"/>
    <w:rsid w:val="0B2551EF"/>
    <w:rsid w:val="0D873BE2"/>
    <w:rsid w:val="0D8D6D55"/>
    <w:rsid w:val="0F1A506F"/>
    <w:rsid w:val="12696610"/>
    <w:rsid w:val="166B212C"/>
    <w:rsid w:val="16FC7F75"/>
    <w:rsid w:val="1B120B46"/>
    <w:rsid w:val="1C1A66C4"/>
    <w:rsid w:val="1DCB65D7"/>
    <w:rsid w:val="1EBA1E08"/>
    <w:rsid w:val="1F345F38"/>
    <w:rsid w:val="20200D19"/>
    <w:rsid w:val="2088352B"/>
    <w:rsid w:val="235E2CE5"/>
    <w:rsid w:val="23FD11D1"/>
    <w:rsid w:val="24725A00"/>
    <w:rsid w:val="26C2432A"/>
    <w:rsid w:val="27E1445A"/>
    <w:rsid w:val="28E2258B"/>
    <w:rsid w:val="29B65ABE"/>
    <w:rsid w:val="2A060CD8"/>
    <w:rsid w:val="2BAB7C91"/>
    <w:rsid w:val="2EFD58C2"/>
    <w:rsid w:val="30AA3D62"/>
    <w:rsid w:val="30FF62AF"/>
    <w:rsid w:val="32E966E3"/>
    <w:rsid w:val="34B7004A"/>
    <w:rsid w:val="44CD7B55"/>
    <w:rsid w:val="47555FDF"/>
    <w:rsid w:val="488251D4"/>
    <w:rsid w:val="49AB74D2"/>
    <w:rsid w:val="4BC91E11"/>
    <w:rsid w:val="5066525E"/>
    <w:rsid w:val="52232427"/>
    <w:rsid w:val="56F91807"/>
    <w:rsid w:val="57F13A0E"/>
    <w:rsid w:val="598B1D00"/>
    <w:rsid w:val="59A578A7"/>
    <w:rsid w:val="5C2E43C5"/>
    <w:rsid w:val="5C7E493D"/>
    <w:rsid w:val="5D7703B4"/>
    <w:rsid w:val="616D34BC"/>
    <w:rsid w:val="63850F40"/>
    <w:rsid w:val="6AD0705E"/>
    <w:rsid w:val="6C3D334A"/>
    <w:rsid w:val="6E420B9E"/>
    <w:rsid w:val="6E477EA7"/>
    <w:rsid w:val="6EB95FD5"/>
    <w:rsid w:val="6F4C78A3"/>
    <w:rsid w:val="701510C8"/>
    <w:rsid w:val="747360FC"/>
    <w:rsid w:val="74B97DBF"/>
    <w:rsid w:val="76E018DA"/>
    <w:rsid w:val="78FF2461"/>
    <w:rsid w:val="7BFC6992"/>
    <w:rsid w:val="7CDA5256"/>
    <w:rsid w:val="F9DFCD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unhideWhenUsed/>
    <w:qFormat/>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2">
    <w:name w:val="toc 1"/>
    <w:basedOn w:val="3"/>
    <w:next w:val="1"/>
    <w:qFormat/>
    <w:uiPriority w:val="0"/>
    <w:pPr>
      <w:tabs>
        <w:tab w:val="right" w:leader="dot" w:pos="8239"/>
      </w:tabs>
    </w:pPr>
    <w:rPr>
      <w:rFonts w:ascii="宋体" w:hAnsi="宋体"/>
    </w:rPr>
  </w:style>
  <w:style w:type="paragraph" w:styleId="3">
    <w:name w:val="index 1"/>
    <w:basedOn w:val="1"/>
    <w:next w:val="1"/>
    <w:qFormat/>
    <w:uiPriority w:val="0"/>
  </w:style>
  <w:style w:type="paragraph" w:styleId="4">
    <w:name w:val="footer"/>
    <w:basedOn w:val="1"/>
    <w:link w:val="13"/>
    <w:qFormat/>
    <w:uiPriority w:val="0"/>
    <w:pPr>
      <w:tabs>
        <w:tab w:val="center" w:pos="4153"/>
        <w:tab w:val="right" w:pos="8306"/>
      </w:tabs>
      <w:snapToGrid w:val="0"/>
      <w:jc w:val="left"/>
    </w:pPr>
    <w:rPr>
      <w:sz w:val="18"/>
      <w:szCs w:val="18"/>
    </w:rPr>
  </w:style>
  <w:style w:type="paragraph" w:styleId="5">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6">
    <w:name w:val="toc 2"/>
    <w:basedOn w:val="1"/>
    <w:next w:val="1"/>
    <w:qFormat/>
    <w:uiPriority w:val="0"/>
    <w:pPr>
      <w:ind w:left="210"/>
      <w:jc w:val="left"/>
    </w:pPr>
    <w:rPr>
      <w:smallCaps/>
      <w:sz w:val="20"/>
      <w:szCs w:val="20"/>
    </w:rPr>
  </w:style>
  <w:style w:type="paragraph" w:styleId="7">
    <w:name w:val="Normal (Web)"/>
    <w:basedOn w:val="1"/>
    <w:qFormat/>
    <w:uiPriority w:val="0"/>
    <w:pPr>
      <w:jc w:val="left"/>
    </w:pPr>
    <w:rPr>
      <w:kern w:val="0"/>
      <w:sz w:val="24"/>
    </w:rPr>
  </w:style>
  <w:style w:type="character" w:styleId="9">
    <w:name w:val="Strong"/>
    <w:basedOn w:val="8"/>
    <w:qFormat/>
    <w:uiPriority w:val="22"/>
    <w:rPr>
      <w:b/>
      <w:bCs/>
    </w:rPr>
  </w:style>
  <w:style w:type="character" w:styleId="10">
    <w:name w:val="Hyperlink"/>
    <w:basedOn w:val="8"/>
    <w:qFormat/>
    <w:uiPriority w:val="0"/>
    <w:rPr>
      <w:color w:val="0000FF"/>
      <w:u w:val="single"/>
    </w:rPr>
  </w:style>
  <w:style w:type="character" w:customStyle="1" w:styleId="12">
    <w:name w:val="页眉 Char"/>
    <w:basedOn w:val="8"/>
    <w:link w:val="5"/>
    <w:qFormat/>
    <w:uiPriority w:val="0"/>
    <w:rPr>
      <w:kern w:val="2"/>
      <w:sz w:val="18"/>
      <w:szCs w:val="18"/>
    </w:rPr>
  </w:style>
  <w:style w:type="character" w:customStyle="1" w:styleId="13">
    <w:name w:val="页脚 Char"/>
    <w:basedOn w:val="8"/>
    <w:link w:val="4"/>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219</Words>
  <Characters>1251</Characters>
  <Lines>10</Lines>
  <Paragraphs>2</Paragraphs>
  <ScaleCrop>false</ScaleCrop>
  <LinksUpToDate>false</LinksUpToDate>
  <CharactersWithSpaces>1468</CharactersWithSpaces>
  <Application>WPS Office_1.2.1.1575_F1E327BC-269C-435d-A152-05C5408002CA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2019-03-19T19:20:00Z</dcterms:created>
  <dc:creator>ly</dc:creator>
  <cp:lastModifiedBy>qiuqiudeng</cp:lastModifiedBy>
  <dcterms:modified xsi:type="dcterms:W3CDTF">2019-07-02T11:44:35Z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2052-1.2.1.1575</vt:lpwstr>
  </property>
</Properties>
</file>